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A91" w:rsidRPr="00D40A91" w:rsidRDefault="00D40A91" w:rsidP="002A0B03">
      <w:pPr>
        <w:spacing w:after="0" w:line="240" w:lineRule="auto"/>
        <w:contextualSpacing/>
        <w:jc w:val="center"/>
        <w:rPr>
          <w:rFonts w:ascii="Times New Roman" w:hAnsi="Times New Roman"/>
          <w:sz w:val="28"/>
          <w:szCs w:val="28"/>
          <w:lang w:eastAsia="ru-RU"/>
        </w:rPr>
      </w:pPr>
      <w:r w:rsidRPr="00D40A91">
        <w:rPr>
          <w:rFonts w:ascii="Times New Roman" w:hAnsi="Times New Roman"/>
          <w:sz w:val="28"/>
          <w:szCs w:val="28"/>
          <w:lang w:eastAsia="ru-RU"/>
        </w:rPr>
        <w:t>Функции Центра занятости населения</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t>Биржей труда является государственная служба занятости, которая в том числе оказывает содействие в поиске подходящей работы, организует профессиональное обучение и дополнительное профессиональное образование безработных граждан.</w:t>
      </w:r>
      <w:r w:rsidRPr="00D40A91">
        <w:rPr>
          <w:rFonts w:ascii="Times New Roman" w:hAnsi="Times New Roman"/>
          <w:sz w:val="28"/>
          <w:szCs w:val="28"/>
          <w:lang w:eastAsia="ru-RU"/>
        </w:rPr>
        <w:tab/>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Законодательство РФ не содержит понятие "биржа труда". Как правило, под биржей труда подразумевают государственный центр занятости населения (службу занятости) (п. 54.3 Требований, утв. Приказом Минэкономразвития России от 09.01.2018 N 10).</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Для выбора места работы гражданин может обратиться в службу занятости (п. 1 ст. 8 Закона от 19.04.1991 N 1032-1).</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В целях обеспечения занятости органы службы занятости выполняют, в частности, следующие функции (п. 1 ст. 7.1, п. 1 ст. 7.1-1 Закона N 1032-1; п. п. 1, 3 Порядка, утв. Постановлением Правительства МО от 20.01.2021 N 12/1):</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регистрируют граждан в целях содействия в поиске подходящей работы, а также безработных граждан;</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содействуют гражданам в поиске подходящей работы;</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организуют профессиональную ориентацию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 xml:space="preserve">Следует учесть, что на период до 2024 г. утверждена программа организации профессионального обучения и дополнительного профессионального образования отдельных категорий граждан, в том числе граждан, ищущих работу и обратившихся в органы службы занятости, включая безработных, в целях приобретения или развития ими имеющихся знаний, компетенций и навыков, обеспечивающих конкурентоспособность и профессиональную мобильность на рынке труда (п. 1, </w:t>
      </w:r>
      <w:proofErr w:type="spellStart"/>
      <w:r w:rsidRPr="00D40A91">
        <w:rPr>
          <w:rFonts w:ascii="Times New Roman" w:hAnsi="Times New Roman"/>
          <w:sz w:val="28"/>
          <w:szCs w:val="28"/>
          <w:lang w:eastAsia="ru-RU"/>
        </w:rPr>
        <w:t>пп</w:t>
      </w:r>
      <w:proofErr w:type="spellEnd"/>
      <w:r w:rsidRPr="00D40A91">
        <w:rPr>
          <w:rFonts w:ascii="Times New Roman" w:hAnsi="Times New Roman"/>
          <w:sz w:val="28"/>
          <w:szCs w:val="28"/>
          <w:lang w:eastAsia="ru-RU"/>
        </w:rPr>
        <w:t>. "а" п. 3 Положения</w:t>
      </w:r>
      <w:proofErr w:type="gramEnd"/>
      <w:r w:rsidRPr="00D40A91">
        <w:rPr>
          <w:rFonts w:ascii="Times New Roman" w:hAnsi="Times New Roman"/>
          <w:sz w:val="28"/>
          <w:szCs w:val="28"/>
          <w:lang w:eastAsia="ru-RU"/>
        </w:rPr>
        <w:t>, утв. Постановлением Правительства РФ от 27.05.2021 N 800).</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оказывают психологическую поддержку безработным гражданам;</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организуют профессиональное обучение и дополнительное профессиональное образование безработных граждан, включая обучение в другой местности;</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организуют проведение оплачиваемых общественных работ;</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организуют временное трудоустройство несовершеннолетних граждан в возрасте от 14 до 18 лет в свободное от учебы время;</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организуют сопровождение при содействии занятости инвалидов;</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 xml:space="preserve">организуют временное трудоустройство безработных граждан, испытывающих трудности в поиске работы, безработных граждан в возрасте от 18 до 25 лет, имеющих среднее профессиональное или высшее образование и ищущих работу в течение года </w:t>
      </w:r>
      <w:proofErr w:type="gramStart"/>
      <w:r w:rsidRPr="00D40A91">
        <w:rPr>
          <w:rFonts w:ascii="Times New Roman" w:hAnsi="Times New Roman"/>
          <w:sz w:val="28"/>
          <w:szCs w:val="28"/>
          <w:lang w:eastAsia="ru-RU"/>
        </w:rPr>
        <w:t>с даты выдачи</w:t>
      </w:r>
      <w:proofErr w:type="gramEnd"/>
      <w:r w:rsidRPr="00D40A91">
        <w:rPr>
          <w:rFonts w:ascii="Times New Roman" w:hAnsi="Times New Roman"/>
          <w:sz w:val="28"/>
          <w:szCs w:val="28"/>
          <w:lang w:eastAsia="ru-RU"/>
        </w:rPr>
        <w:t xml:space="preserve"> им документа об образовании и о квалификации;</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 xml:space="preserve">осуществляют социальную адаптацию безработных граждан на рынке </w:t>
      </w:r>
      <w:r w:rsidRPr="00D40A91">
        <w:rPr>
          <w:rFonts w:ascii="Times New Roman" w:hAnsi="Times New Roman"/>
          <w:sz w:val="28"/>
          <w:szCs w:val="28"/>
          <w:lang w:eastAsia="ru-RU"/>
        </w:rPr>
        <w:lastRenderedPageBreak/>
        <w:t>труда;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содействуют началу осуществления предпринимательской деятельности безработных граждан;</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содействуют в переезде и в переселении в другую местность для трудоустройства;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производят социальные выплаты гражданам, признанным в установленном порядке безработными, в том числе: пособия по безработице, материальной помощи в связи с истечением установленного периода выплаты пособия по безработице;</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организуют ярмарки вакансий и учебных рабочих мест;</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информируют о положении на рынке труда в субъекте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Услуги, связанные с содействием занятости, предоставляются гражданам бесплатно.</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Центры занятости также обеспечивают бесплатный доступ граждан к Единой цифровой платформе в сфере занятости и трудовых отношений "Работа в России", единому порталу государственных и муниципальных услуг, региональным порталам государственных и муниципальных услуг, а также необходимое консультационное содействие, в том числе при подаче заявления и иных сведений в электронной форме (п. 3.1 ст. 15, ст. 16.2 Закона N 1032-1).</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t>Помощник прокурора Тимошенко Т.Е.</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lastRenderedPageBreak/>
        <w:t>Правомерность снижения зарплаты работнику при неизменности его должности</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t>По общему правилу снижение оклада при неизменности должности возможно по соглашению сторон трудового договора. Снижение оклада работодателем в одностороннем порядке возможно в случаях изменения организационных или технологических условий труда или режима рабочего времени.</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В положении о премировании могут быть определены основания снижения или лишения (невыплаты) работника премии.</w:t>
      </w:r>
      <w:r w:rsidRPr="00D40A91">
        <w:rPr>
          <w:rFonts w:ascii="Times New Roman" w:hAnsi="Times New Roman"/>
          <w:sz w:val="28"/>
          <w:szCs w:val="28"/>
          <w:lang w:eastAsia="ru-RU"/>
        </w:rPr>
        <w:tab/>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Заработная плата работнику устанавливается трудовым договором в соответствии с действующими у данного работодателя системами оплаты труда (ч. 1 ст. 135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Системы оплаты труда, включая системы премирования, устанавливаются коллективными договорами, соглашениями, локальными нормативными актами (ч. 2 ст. 135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Заработная плата включает в себя (ст. 129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вознаграждение за труд в зависимости от квалификации работника, сложности, количества, качества и условий выполняемой работы, выплачиваемое, например, в виде тарифной ставки, оклада (далее - оклад);</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стимулирующие выплаты (доплаты и надбавки стимулирующего характера, премии и иные поощрительные выплаты) (далее - премия);</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w:t>
      </w:r>
      <w:r w:rsidRPr="00D40A91">
        <w:rPr>
          <w:rFonts w:ascii="Times New Roman" w:hAnsi="Times New Roman"/>
          <w:sz w:val="28"/>
          <w:szCs w:val="28"/>
          <w:lang w:eastAsia="ru-RU"/>
        </w:rPr>
        <w:tab/>
        <w:t>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Как правило, на практике снижение зарплаты работнику происходит путем уменьшения оклада или премии.</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Основания снижения оклада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В большинстве случаев инициатива понижения оклада работнику исходит от работодателя.</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При сохранении должностных обязанностей работника работодатель вправе уменьшить его оклад только в связи с изменением организационных или технологических условий труда, а также режима рабочего времени (ч. 1, 5 ст. 74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О снижении оклада в связи с изменением организационных или технологических условий труда и о причинах, его вызвавших, работодатель обязан сообщить в письменной форме работнику не </w:t>
      </w:r>
      <w:proofErr w:type="gramStart"/>
      <w:r w:rsidRPr="00D40A91">
        <w:rPr>
          <w:rFonts w:ascii="Times New Roman" w:hAnsi="Times New Roman"/>
          <w:sz w:val="28"/>
          <w:szCs w:val="28"/>
          <w:lang w:eastAsia="ru-RU"/>
        </w:rPr>
        <w:t>позднее</w:t>
      </w:r>
      <w:proofErr w:type="gramEnd"/>
      <w:r w:rsidRPr="00D40A91">
        <w:rPr>
          <w:rFonts w:ascii="Times New Roman" w:hAnsi="Times New Roman"/>
          <w:sz w:val="28"/>
          <w:szCs w:val="28"/>
          <w:lang w:eastAsia="ru-RU"/>
        </w:rPr>
        <w:t xml:space="preserve"> чем за два месяца. Работодатель - физическое лицо должен предупредить работника в письменной форме не менее чем за 14 календарных дней. Дистанционный работник может быть ознакомлен с указанными обстоятельствами также путем обмена электронными документами либо в иной форме (ч. 2 ст. 74, ст. ст. 306, 312.3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При этом для снижения зарплаты в части оклада в одностороннем </w:t>
      </w:r>
      <w:r w:rsidRPr="00D40A91">
        <w:rPr>
          <w:rFonts w:ascii="Times New Roman" w:hAnsi="Times New Roman"/>
          <w:sz w:val="28"/>
          <w:szCs w:val="28"/>
          <w:lang w:eastAsia="ru-RU"/>
        </w:rPr>
        <w:lastRenderedPageBreak/>
        <w:t>порядке работодателем - физическим лицом, не являющимся индивидуальным предпринимателем, не требуется обоснование причинами, связанными с изменением организационных и технологических условий труда (п. 27 Постановления Пленума Верховного Суда РФ от 29.05.2018 N 15).</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Если работник согласен на снижение оклада, то работодатель заключает с ним дополнительное соглашение к трудовому договору, в котором указывается его новый размер (ст. 72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О таких изменениях работодатель, как правило, также издает приказ (ст. 8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В случае отказа работника от снижения оклада работодатель обязан в письменной форме предложить ему другую имеющуюся работу. Это может быть вакантная должность, соответствующая квалификации работника, а также нижестоящая должность или нижеоплачиваемая работа. При этом работодатель обязан предлагать работнику все вакансии, имеющиеся у него в этой местности (ч. 3 ст. 74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Если вакансий нет или работник отказался от предложенной работы, трудовой договор расторгается на основании отказа работника от продолжения работы в связи с изменением определенных сторонами условий трудового договора. В этом случае работодатель должен выплатить работнику выходное пособие в размере двухнедельного среднего заработка (ч. 4 ст. 74, п. 7 ч. 1 ст. 77, ч. 7 ст. 178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Работодатель вправе вводить режим неполного рабочего времени (смены, дня, недели) на срок до шести месяцев, что также может повлечь снижение оклада работника при неизменности его должности. Однако такой режим может быть введен с целью сохранения рабочих мест, если причины, связанные с изменением организационных или технологических условий труда, могут повлечь массовые увольнения (ч. 5 ст. 74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Если работник откажется от продолжения работы в режиме неполного рабочего времени, то трудовой договор расторгается на основании сокращения численности или штата. При этом работнику предоставляются соответствующие гарантии и компенсации (ч. 6 ст. 74, п. 2 ч. 1 ст. 81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t>Помощник прокурора Тимошенко Т.Е.</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2A0B03" w:rsidRPr="00D40A91" w:rsidRDefault="002A0B03"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lastRenderedPageBreak/>
        <w:t>Ответственность начальника за предвзятое отношение к работнику</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r>
      <w:r w:rsidRPr="00D40A91">
        <w:rPr>
          <w:rFonts w:ascii="Times New Roman" w:hAnsi="Times New Roman"/>
          <w:sz w:val="28"/>
          <w:szCs w:val="28"/>
          <w:lang w:eastAsia="ru-RU"/>
        </w:rPr>
        <w:tab/>
        <w:t>Если в результате предвзятого отношения нарушаются трудовые права работника, то он может обратиться с заявлением в суд о восстановлении нарушенных прав, возмещении материального вреда и компенсации морального вреда. В отдельных случаях в результате предвзятого отношения работодатель может быть привлечен к административной или уголовной ответственности.</w:t>
      </w:r>
      <w:r w:rsidRPr="00D40A91">
        <w:rPr>
          <w:rFonts w:ascii="Times New Roman" w:hAnsi="Times New Roman"/>
          <w:sz w:val="28"/>
          <w:szCs w:val="28"/>
          <w:lang w:eastAsia="ru-RU"/>
        </w:rPr>
        <w:tab/>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Критерии предвзятого отношения к работнику</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Трудовое законодательство РФ не содержит понятия и признаков предвзятого отношения к работнику.</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Под деловыми качествами работника предполагаются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 (п. 10 Постановления Пленума Верховного Суда РФ от 17.03.2004 N 2).</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w:t>
      </w:r>
      <w:proofErr w:type="gramEnd"/>
      <w:r w:rsidRPr="00D40A91">
        <w:rPr>
          <w:rFonts w:ascii="Times New Roman" w:hAnsi="Times New Roman"/>
          <w:sz w:val="28"/>
          <w:szCs w:val="28"/>
          <w:lang w:eastAsia="ru-RU"/>
        </w:rPr>
        <w:t xml:space="preserve"> деловыми качествами работника, то оно может быть квалифицировано как дискриминация в сфере труда (</w:t>
      </w:r>
      <w:proofErr w:type="gramStart"/>
      <w:r w:rsidRPr="00D40A91">
        <w:rPr>
          <w:rFonts w:ascii="Times New Roman" w:hAnsi="Times New Roman"/>
          <w:sz w:val="28"/>
          <w:szCs w:val="28"/>
          <w:lang w:eastAsia="ru-RU"/>
        </w:rPr>
        <w:t>ч</w:t>
      </w:r>
      <w:proofErr w:type="gramEnd"/>
      <w:r w:rsidRPr="00D40A91">
        <w:rPr>
          <w:rFonts w:ascii="Times New Roman" w:hAnsi="Times New Roman"/>
          <w:sz w:val="28"/>
          <w:szCs w:val="28"/>
          <w:lang w:eastAsia="ru-RU"/>
        </w:rPr>
        <w:t>. 2 ст. 3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На практике нарушение трудовых прав работника, связанное с предвзятым отношением, выражается, в частности:</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в необоснованном отказе в заключени</w:t>
      </w:r>
      <w:proofErr w:type="gramStart"/>
      <w:r w:rsidRPr="00D40A91">
        <w:rPr>
          <w:rFonts w:ascii="Times New Roman" w:hAnsi="Times New Roman"/>
          <w:sz w:val="28"/>
          <w:szCs w:val="28"/>
          <w:lang w:eastAsia="ru-RU"/>
        </w:rPr>
        <w:t>и</w:t>
      </w:r>
      <w:proofErr w:type="gramEnd"/>
      <w:r w:rsidRPr="00D40A91">
        <w:rPr>
          <w:rFonts w:ascii="Times New Roman" w:hAnsi="Times New Roman"/>
          <w:sz w:val="28"/>
          <w:szCs w:val="28"/>
          <w:lang w:eastAsia="ru-RU"/>
        </w:rPr>
        <w:t xml:space="preserve"> трудового договора;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r>
      <w:proofErr w:type="gramStart"/>
      <w:r w:rsidRPr="00D40A91">
        <w:rPr>
          <w:rFonts w:ascii="Times New Roman" w:hAnsi="Times New Roman"/>
          <w:sz w:val="28"/>
          <w:szCs w:val="28"/>
          <w:lang w:eastAsia="ru-RU"/>
        </w:rPr>
        <w:t>увольнении</w:t>
      </w:r>
      <w:proofErr w:type="gramEnd"/>
      <w:r w:rsidRPr="00D40A91">
        <w:rPr>
          <w:rFonts w:ascii="Times New Roman" w:hAnsi="Times New Roman"/>
          <w:sz w:val="28"/>
          <w:szCs w:val="28"/>
          <w:lang w:eastAsia="ru-RU"/>
        </w:rPr>
        <w:t xml:space="preserve"> без законного основания;</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r>
      <w:proofErr w:type="gramStart"/>
      <w:r w:rsidRPr="00D40A91">
        <w:rPr>
          <w:rFonts w:ascii="Times New Roman" w:hAnsi="Times New Roman"/>
          <w:sz w:val="28"/>
          <w:szCs w:val="28"/>
          <w:lang w:eastAsia="ru-RU"/>
        </w:rPr>
        <w:t>наложении</w:t>
      </w:r>
      <w:proofErr w:type="gramEnd"/>
      <w:r w:rsidRPr="00D40A91">
        <w:rPr>
          <w:rFonts w:ascii="Times New Roman" w:hAnsi="Times New Roman"/>
          <w:sz w:val="28"/>
          <w:szCs w:val="28"/>
          <w:lang w:eastAsia="ru-RU"/>
        </w:rPr>
        <w:t xml:space="preserve"> дисциплинарного взыскания без учета тяжести совершенного проступка и обстоятельств, при которых он был совершен, а также без учета предшествующего поведения работника, его отношения к труду;</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 xml:space="preserve">необоснованном </w:t>
      </w:r>
      <w:proofErr w:type="gramStart"/>
      <w:r w:rsidRPr="00D40A91">
        <w:rPr>
          <w:rFonts w:ascii="Times New Roman" w:hAnsi="Times New Roman"/>
          <w:sz w:val="28"/>
          <w:szCs w:val="28"/>
          <w:lang w:eastAsia="ru-RU"/>
        </w:rPr>
        <w:t>снижении</w:t>
      </w:r>
      <w:proofErr w:type="gramEnd"/>
      <w:r w:rsidRPr="00D40A91">
        <w:rPr>
          <w:rFonts w:ascii="Times New Roman" w:hAnsi="Times New Roman"/>
          <w:sz w:val="28"/>
          <w:szCs w:val="28"/>
          <w:lang w:eastAsia="ru-RU"/>
        </w:rPr>
        <w:t xml:space="preserve"> или лишении премии;</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lastRenderedPageBreak/>
        <w:t>•</w:t>
      </w:r>
      <w:r w:rsidRPr="00D40A91">
        <w:rPr>
          <w:rFonts w:ascii="Times New Roman" w:hAnsi="Times New Roman"/>
          <w:sz w:val="28"/>
          <w:szCs w:val="28"/>
          <w:lang w:eastAsia="ru-RU"/>
        </w:rPr>
        <w:tab/>
        <w:t>дискриминации при установлении и изменении условий оплаты труда;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r>
      <w:proofErr w:type="gramStart"/>
      <w:r w:rsidRPr="00D40A91">
        <w:rPr>
          <w:rFonts w:ascii="Times New Roman" w:hAnsi="Times New Roman"/>
          <w:sz w:val="28"/>
          <w:szCs w:val="28"/>
          <w:lang w:eastAsia="ru-RU"/>
        </w:rPr>
        <w:t>неисполнении</w:t>
      </w:r>
      <w:proofErr w:type="gramEnd"/>
      <w:r w:rsidRPr="00D40A91">
        <w:rPr>
          <w:rFonts w:ascii="Times New Roman" w:hAnsi="Times New Roman"/>
          <w:sz w:val="28"/>
          <w:szCs w:val="28"/>
          <w:lang w:eastAsia="ru-RU"/>
        </w:rPr>
        <w:t xml:space="preserve"> обязанности предлагать всем сокращаемым работникам все имеющиеся вакантные должности.</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Ответственность работодателя за предвзятое отношение к работнику</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D40A91">
        <w:rPr>
          <w:rFonts w:ascii="Times New Roman" w:hAnsi="Times New Roman"/>
          <w:sz w:val="28"/>
          <w:szCs w:val="28"/>
          <w:lang w:eastAsia="ru-RU"/>
        </w:rPr>
        <w:t>ненадлежаще</w:t>
      </w:r>
      <w:proofErr w:type="spellEnd"/>
      <w:r w:rsidRPr="00D40A91">
        <w:rPr>
          <w:rFonts w:ascii="Times New Roman" w:hAnsi="Times New Roman"/>
          <w:sz w:val="28"/>
          <w:szCs w:val="28"/>
          <w:lang w:eastAsia="ru-RU"/>
        </w:rPr>
        <w:t xml:space="preserve"> исполняет по своей вине возложенные на него трудовые обязанности (ст. ст. 192, 193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w:t>
      </w:r>
      <w:proofErr w:type="spellStart"/>
      <w:r w:rsidRPr="00D40A91">
        <w:rPr>
          <w:rFonts w:ascii="Times New Roman" w:hAnsi="Times New Roman"/>
          <w:sz w:val="28"/>
          <w:szCs w:val="28"/>
          <w:lang w:eastAsia="ru-RU"/>
        </w:rPr>
        <w:t>КоАП</w:t>
      </w:r>
      <w:proofErr w:type="spellEnd"/>
      <w:r w:rsidRPr="00D40A91">
        <w:rPr>
          <w:rFonts w:ascii="Times New Roman" w:hAnsi="Times New Roman"/>
          <w:sz w:val="28"/>
          <w:szCs w:val="28"/>
          <w:lang w:eastAsia="ru-RU"/>
        </w:rPr>
        <w:t xml:space="preserve">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должностному лицу работодателя - от 1 000 до 5 000 руб.;</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r>
      <w:proofErr w:type="spellStart"/>
      <w:r w:rsidRPr="00D40A91">
        <w:rPr>
          <w:rFonts w:ascii="Times New Roman" w:hAnsi="Times New Roman"/>
          <w:sz w:val="28"/>
          <w:szCs w:val="28"/>
          <w:lang w:eastAsia="ru-RU"/>
        </w:rPr>
        <w:t>работодателю-ИП</w:t>
      </w:r>
      <w:proofErr w:type="spellEnd"/>
      <w:r w:rsidRPr="00D40A91">
        <w:rPr>
          <w:rFonts w:ascii="Times New Roman" w:hAnsi="Times New Roman"/>
          <w:sz w:val="28"/>
          <w:szCs w:val="28"/>
          <w:lang w:eastAsia="ru-RU"/>
        </w:rPr>
        <w:t xml:space="preserve"> - от 1 000 до 5 000 руб.;</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работодателю-организации - от 30 000 до 50 000 руб.</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w:t>
      </w:r>
      <w:proofErr w:type="gramStart"/>
      <w:r w:rsidRPr="00D40A91">
        <w:rPr>
          <w:rFonts w:ascii="Times New Roman" w:hAnsi="Times New Roman"/>
          <w:sz w:val="28"/>
          <w:szCs w:val="28"/>
          <w:lang w:eastAsia="ru-RU"/>
        </w:rPr>
        <w:t>накладывается штраф</w:t>
      </w:r>
      <w:proofErr w:type="gramEnd"/>
      <w:r w:rsidRPr="00D40A91">
        <w:rPr>
          <w:rFonts w:ascii="Times New Roman" w:hAnsi="Times New Roman"/>
          <w:sz w:val="28"/>
          <w:szCs w:val="28"/>
          <w:lang w:eastAsia="ru-RU"/>
        </w:rPr>
        <w:t xml:space="preserve"> (ст. 4.6, ч. 2 ст. 5.27 </w:t>
      </w:r>
      <w:proofErr w:type="spellStart"/>
      <w:r w:rsidRPr="00D40A91">
        <w:rPr>
          <w:rFonts w:ascii="Times New Roman" w:hAnsi="Times New Roman"/>
          <w:sz w:val="28"/>
          <w:szCs w:val="28"/>
          <w:lang w:eastAsia="ru-RU"/>
        </w:rPr>
        <w:t>КоАП</w:t>
      </w:r>
      <w:proofErr w:type="spellEnd"/>
      <w:r w:rsidRPr="00D40A91">
        <w:rPr>
          <w:rFonts w:ascii="Times New Roman" w:hAnsi="Times New Roman"/>
          <w:sz w:val="28"/>
          <w:szCs w:val="28"/>
          <w:lang w:eastAsia="ru-RU"/>
        </w:rPr>
        <w:t xml:space="preserve"> РФ; п. 17 Постановления Пленума Верховного Суда РФ от 24.03.2005 N 5):</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на должностное лицо - от 10 000 до 20 000 руб. или дисквалификацию на срок от года до трех лет;</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 xml:space="preserve">на </w:t>
      </w:r>
      <w:proofErr w:type="spellStart"/>
      <w:r w:rsidRPr="00D40A91">
        <w:rPr>
          <w:rFonts w:ascii="Times New Roman" w:hAnsi="Times New Roman"/>
          <w:sz w:val="28"/>
          <w:szCs w:val="28"/>
          <w:lang w:eastAsia="ru-RU"/>
        </w:rPr>
        <w:t>работодателя-ИП</w:t>
      </w:r>
      <w:proofErr w:type="spellEnd"/>
      <w:r w:rsidRPr="00D40A91">
        <w:rPr>
          <w:rFonts w:ascii="Times New Roman" w:hAnsi="Times New Roman"/>
          <w:sz w:val="28"/>
          <w:szCs w:val="28"/>
          <w:lang w:eastAsia="ru-RU"/>
        </w:rPr>
        <w:t xml:space="preserve"> - от 10 000 до 20 000 руб.;</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на работодателя-организацию - от 50 000 до 70 000 руб.</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Если предвзятое отношение работодателя повлекло отказ в приеме на работу инвалида в пределах установленной квоты, то это может повлечь наложение административного штрафа на должностное лицо работодателя в размере от 5 000 до 10 000 руб. (ч. 1 ст. 5.42 </w:t>
      </w:r>
      <w:proofErr w:type="spellStart"/>
      <w:r w:rsidRPr="00D40A91">
        <w:rPr>
          <w:rFonts w:ascii="Times New Roman" w:hAnsi="Times New Roman"/>
          <w:sz w:val="28"/>
          <w:szCs w:val="28"/>
          <w:lang w:eastAsia="ru-RU"/>
        </w:rPr>
        <w:t>КоАП</w:t>
      </w:r>
      <w:proofErr w:type="spellEnd"/>
      <w:r w:rsidRPr="00D40A91">
        <w:rPr>
          <w:rFonts w:ascii="Times New Roman" w:hAnsi="Times New Roman"/>
          <w:sz w:val="28"/>
          <w:szCs w:val="28"/>
          <w:lang w:eastAsia="ru-RU"/>
        </w:rPr>
        <w:t xml:space="preserve">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w:t>
      </w:r>
      <w:proofErr w:type="spellStart"/>
      <w:r w:rsidRPr="00D40A91">
        <w:rPr>
          <w:rFonts w:ascii="Times New Roman" w:hAnsi="Times New Roman"/>
          <w:sz w:val="28"/>
          <w:szCs w:val="28"/>
          <w:lang w:eastAsia="ru-RU"/>
        </w:rPr>
        <w:t>КоАП</w:t>
      </w:r>
      <w:proofErr w:type="spellEnd"/>
      <w:r w:rsidRPr="00D40A91">
        <w:rPr>
          <w:rFonts w:ascii="Times New Roman" w:hAnsi="Times New Roman"/>
          <w:sz w:val="28"/>
          <w:szCs w:val="28"/>
          <w:lang w:eastAsia="ru-RU"/>
        </w:rPr>
        <w:t xml:space="preserve">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если работодатель - физическое лицо - от 1 000 до 3 000 руб.;</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если работодателем является организация - от 50 000 до 100 000 руб.</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Дискриминация с использованием служебного положения может повлечь привлечение к уголовной ответственности (ст. 136 УК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D40A91">
        <w:rPr>
          <w:rFonts w:ascii="Times New Roman" w:hAnsi="Times New Roman"/>
          <w:sz w:val="28"/>
          <w:szCs w:val="28"/>
          <w:lang w:eastAsia="ru-RU"/>
        </w:rPr>
        <w:t>предпенсионного</w:t>
      </w:r>
      <w:proofErr w:type="spellEnd"/>
      <w:r w:rsidRPr="00D40A91">
        <w:rPr>
          <w:rFonts w:ascii="Times New Roman" w:hAnsi="Times New Roman"/>
          <w:sz w:val="28"/>
          <w:szCs w:val="28"/>
          <w:lang w:eastAsia="ru-RU"/>
        </w:rPr>
        <w:t xml:space="preserve"> возраста, работодатель может быть привлечен к уголовной ответственности (ст. ст. 144.1, 145 УК РФ; п. 16 Постановления Пленума Верховного Суда РФ от 25.12.2018 N 46).</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lastRenderedPageBreak/>
        <w:t>Действия работника в случае предвзятого отношения</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Если в результате предвзятого отношения были нарушены трудовые права и свободы работника, то он имеет право подать обращение (жалобу) в государственную инспекцию труда. </w:t>
      </w:r>
      <w:proofErr w:type="gramStart"/>
      <w:r w:rsidRPr="00D40A91">
        <w:rPr>
          <w:rFonts w:ascii="Times New Roman" w:hAnsi="Times New Roman"/>
          <w:sz w:val="28"/>
          <w:szCs w:val="28"/>
          <w:lang w:eastAsia="ru-RU"/>
        </w:rPr>
        <w:t>Такое обращение (жалоба) может быть подано работником непосредственно в инспекцию, направлено по почте или в форме электронного документа (ст. 353 ТК РФ; ч. 1 ст. 2, п. п. 1, 4 ст. 4, ч. 3 ст. 7, ч. 1 ст. 8 Закона от 02.05.2006 N 59-ФЗ; п. п. 3, 8 Положения, утв. Постановлением Правительства РФ от 21.07.2021 N 1230).</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На основании жалобы государственная инспекция труда обязана провести внеплановую проверку (п. 1 ч. 1 ст. 58, п. 1 ст. 60, ч. 12 ст. 66 Закона от 31.07.2020 N 248-ФЗ; п. п. 35, 49 Положения N 1230).</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При подтверждении фактов нарушения трудовых прав работодателю будет выдано предписание об устранении выявленных нарушений (ч. 1 ст. 357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Работник, столкнувшийся с дискриминацией, вправе обратиться с заявлением (жалобой) о нарушении законодательства в прокуратуру. </w:t>
      </w:r>
      <w:proofErr w:type="gramStart"/>
      <w:r w:rsidRPr="00D40A91">
        <w:rPr>
          <w:rFonts w:ascii="Times New Roman" w:hAnsi="Times New Roman"/>
          <w:sz w:val="28"/>
          <w:szCs w:val="28"/>
          <w:lang w:eastAsia="ru-RU"/>
        </w:rPr>
        <w:t>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w:t>
      </w:r>
      <w:proofErr w:type="gramEnd"/>
      <w:r w:rsidRPr="00D40A91">
        <w:rPr>
          <w:rFonts w:ascii="Times New Roman" w:hAnsi="Times New Roman"/>
          <w:sz w:val="28"/>
          <w:szCs w:val="28"/>
          <w:lang w:eastAsia="ru-RU"/>
        </w:rPr>
        <w:t xml:space="preserve"> </w:t>
      </w:r>
      <w:proofErr w:type="gramStart"/>
      <w:r w:rsidRPr="00D40A91">
        <w:rPr>
          <w:rFonts w:ascii="Times New Roman" w:hAnsi="Times New Roman"/>
          <w:sz w:val="28"/>
          <w:szCs w:val="28"/>
          <w:lang w:eastAsia="ru-RU"/>
        </w:rPr>
        <w:t xml:space="preserve">ч. 1 ст. 28.4 </w:t>
      </w:r>
      <w:proofErr w:type="spellStart"/>
      <w:r w:rsidRPr="00D40A91">
        <w:rPr>
          <w:rFonts w:ascii="Times New Roman" w:hAnsi="Times New Roman"/>
          <w:sz w:val="28"/>
          <w:szCs w:val="28"/>
          <w:lang w:eastAsia="ru-RU"/>
        </w:rPr>
        <w:t>КоАП</w:t>
      </w:r>
      <w:proofErr w:type="spellEnd"/>
      <w:r w:rsidRPr="00D40A91">
        <w:rPr>
          <w:rFonts w:ascii="Times New Roman" w:hAnsi="Times New Roman"/>
          <w:sz w:val="28"/>
          <w:szCs w:val="28"/>
          <w:lang w:eastAsia="ru-RU"/>
        </w:rPr>
        <w:t xml:space="preserve"> РФ; ч. 3, 5 ст. 20, ч. 1 ст. 21, ч. 2, 3 ст. 37 УПК РФ).</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Соответствующее исковое заявление подается в районный суд по выбору истца (ст. ст. 24, 28, ч. 2, 6.3, 9 ст. 29 ГПК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по адресу работодателя-организации или по месту жительства работодателя - индивидуального предпринимателя;</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по месту жительства работника;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по месту исполнения трудового договора, из которого вытекает иск, если в нем указано место его исполнения.</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Исковое заявление в суд и документы, прилагаемые к нему, следует подготовить в соответствии с требованиями ст. ст. 131, 132 ГПК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Факт наличия (отсутствия) предвзятого отношения устанавливается с </w:t>
      </w:r>
      <w:r w:rsidRPr="00D40A91">
        <w:rPr>
          <w:rFonts w:ascii="Times New Roman" w:hAnsi="Times New Roman"/>
          <w:sz w:val="28"/>
          <w:szCs w:val="28"/>
          <w:lang w:eastAsia="ru-RU"/>
        </w:rPr>
        <w:lastRenderedPageBreak/>
        <w:t>учетом всех обстоятельств дела, подтвержденных соответствующими доказательствами.</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Так, в рамках судебного разбирательства работнику необходимо будет 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t>Помощник прокурора Тимошенко Т.Е.</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pStyle w:val="ConsPlusNormal"/>
        <w:contextualSpacing/>
        <w:outlineLvl w:val="0"/>
        <w:rPr>
          <w:sz w:val="28"/>
          <w:szCs w:val="28"/>
        </w:rPr>
      </w:pPr>
      <w:r w:rsidRPr="00D40A91">
        <w:rPr>
          <w:b/>
          <w:bCs/>
          <w:sz w:val="28"/>
          <w:szCs w:val="28"/>
        </w:rPr>
        <w:lastRenderedPageBreak/>
        <w:t>Территории, помещения и объекты, где запрещено курение табака</w:t>
      </w:r>
    </w:p>
    <w:p w:rsidR="00D40A91" w:rsidRPr="00D40A91" w:rsidRDefault="00D40A91" w:rsidP="00D40A91">
      <w:pPr>
        <w:pStyle w:val="ConsPlusNormal"/>
        <w:contextualSpacing/>
        <w:jc w:val="both"/>
        <w:rPr>
          <w:sz w:val="28"/>
          <w:szCs w:val="28"/>
        </w:rPr>
      </w:pPr>
      <w:r w:rsidRPr="00D40A91">
        <w:rPr>
          <w:sz w:val="28"/>
          <w:szCs w:val="28"/>
        </w:rPr>
        <w:t>Курение табака запрещено на отдельных территориях и объектах, а также в некоторых помещениях (ч. 1 ст. 12 Закона от 23.02.2013 N 15-ФЗ).</w:t>
      </w:r>
    </w:p>
    <w:p w:rsidR="00D40A91" w:rsidRPr="00D40A91" w:rsidRDefault="00D40A91" w:rsidP="00D40A91">
      <w:pPr>
        <w:pStyle w:val="ConsPlusNormal"/>
        <w:contextualSpacing/>
        <w:jc w:val="both"/>
        <w:rPr>
          <w:sz w:val="28"/>
          <w:szCs w:val="28"/>
        </w:rPr>
      </w:pPr>
      <w:r w:rsidRPr="00D40A91">
        <w:rPr>
          <w:sz w:val="28"/>
          <w:szCs w:val="28"/>
        </w:rPr>
        <w:t xml:space="preserve">Запрет распространяется на такие курительные табачные изделия, как сигареты, сигары, </w:t>
      </w:r>
      <w:proofErr w:type="spellStart"/>
      <w:r w:rsidRPr="00D40A91">
        <w:rPr>
          <w:sz w:val="28"/>
          <w:szCs w:val="28"/>
        </w:rPr>
        <w:t>сигариллы</w:t>
      </w:r>
      <w:proofErr w:type="spellEnd"/>
      <w:r w:rsidRPr="00D40A91">
        <w:rPr>
          <w:sz w:val="28"/>
          <w:szCs w:val="28"/>
        </w:rPr>
        <w:t xml:space="preserve"> (</w:t>
      </w:r>
      <w:proofErr w:type="spellStart"/>
      <w:r w:rsidRPr="00D40A91">
        <w:rPr>
          <w:sz w:val="28"/>
          <w:szCs w:val="28"/>
        </w:rPr>
        <w:t>сигариты</w:t>
      </w:r>
      <w:proofErr w:type="spellEnd"/>
      <w:r w:rsidRPr="00D40A91">
        <w:rPr>
          <w:sz w:val="28"/>
          <w:szCs w:val="28"/>
        </w:rPr>
        <w:t xml:space="preserve">), папиросы, табак для кальяна, табак курительный, табак трубочный, </w:t>
      </w:r>
      <w:proofErr w:type="spellStart"/>
      <w:r w:rsidRPr="00D40A91">
        <w:rPr>
          <w:sz w:val="28"/>
          <w:szCs w:val="28"/>
        </w:rPr>
        <w:t>биди</w:t>
      </w:r>
      <w:proofErr w:type="spellEnd"/>
      <w:r w:rsidRPr="00D40A91">
        <w:rPr>
          <w:sz w:val="28"/>
          <w:szCs w:val="28"/>
        </w:rPr>
        <w:t xml:space="preserve"> и </w:t>
      </w:r>
      <w:proofErr w:type="spellStart"/>
      <w:r w:rsidRPr="00D40A91">
        <w:rPr>
          <w:sz w:val="28"/>
          <w:szCs w:val="28"/>
        </w:rPr>
        <w:t>кретек</w:t>
      </w:r>
      <w:proofErr w:type="spellEnd"/>
      <w:r w:rsidRPr="00D40A91">
        <w:rPr>
          <w:sz w:val="28"/>
          <w:szCs w:val="28"/>
        </w:rPr>
        <w:t xml:space="preserve"> (п. 2 ч. 1, ч. 2 ст. 2 Закона N 15-ФЗ; п. п. 5 - 16 ст. 2 Закона от 22.12.2008 N 268-ФЗ).</w:t>
      </w:r>
    </w:p>
    <w:p w:rsidR="00D40A91" w:rsidRPr="00D40A91" w:rsidRDefault="00D40A91" w:rsidP="00D40A91">
      <w:pPr>
        <w:pStyle w:val="ConsPlusNormal"/>
        <w:contextualSpacing/>
        <w:jc w:val="both"/>
        <w:rPr>
          <w:sz w:val="28"/>
          <w:szCs w:val="28"/>
        </w:rPr>
      </w:pPr>
      <w:r w:rsidRPr="00D40A91">
        <w:rPr>
          <w:sz w:val="28"/>
          <w:szCs w:val="28"/>
        </w:rPr>
        <w:t xml:space="preserve">Курить табак запрещено в следующих местах (ч. 1 ст. 12 Закона N 15-ФЗ; </w:t>
      </w:r>
      <w:proofErr w:type="spellStart"/>
      <w:r w:rsidRPr="00D40A91">
        <w:rPr>
          <w:sz w:val="28"/>
          <w:szCs w:val="28"/>
        </w:rPr>
        <w:t>пп</w:t>
      </w:r>
      <w:proofErr w:type="spellEnd"/>
      <w:r w:rsidRPr="00D40A91">
        <w:rPr>
          <w:sz w:val="28"/>
          <w:szCs w:val="28"/>
        </w:rPr>
        <w:t>. "а" п. 2 Правил, утв. Постановлением Правительства РФ от 13.08.2006 N 491; Постановление Московского городского суда от 24.06.2019 N 4а-3736/2019):</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на территориях и в помещениях, предназначенных для оказания медицинских, реабилитационных и санаторно-курортных услуг;</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в поездах дальнего следования, на судах, находящихся в дальнем плавании, при оказании услуг по перевозкам пассажиров;</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в местах на открытом воздухе на расстоянии менее 15 м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в помещениях, предназначенных для предоставления жилищных, гостиничных услуг, услуг по временному размещению и (или) обеспечению временного проживания;</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в помещениях, предназначенных для предоставления бытовых услуг, услуг торговли, помещениях рынков, в нестационарных торговых объектах.</w:t>
      </w:r>
    </w:p>
    <w:p w:rsidR="00D40A91" w:rsidRPr="00D40A91" w:rsidRDefault="00D40A91" w:rsidP="00D40A91">
      <w:pPr>
        <w:pStyle w:val="ConsPlusNormal"/>
        <w:ind w:left="540"/>
        <w:contextualSpacing/>
        <w:jc w:val="both"/>
        <w:rPr>
          <w:sz w:val="28"/>
          <w:szCs w:val="28"/>
        </w:rPr>
      </w:pPr>
      <w:r w:rsidRPr="00D40A91">
        <w:rPr>
          <w:sz w:val="28"/>
          <w:szCs w:val="28"/>
        </w:rPr>
        <w:t xml:space="preserve">Временные террасы, выносные столики на территории, примыкающей к зданию, в котором расположен пункт общепита, а также летние веранды на крышах и иных открытых площадках зданий, не огороженные строительными конструкциями, не расцениваются ни как часть помещений организаций общепита, ни как нестационарные торговые объекты (Письмо </w:t>
      </w:r>
      <w:proofErr w:type="spellStart"/>
      <w:r w:rsidRPr="00D40A91">
        <w:rPr>
          <w:sz w:val="28"/>
          <w:szCs w:val="28"/>
        </w:rPr>
        <w:t>Минпромторга</w:t>
      </w:r>
      <w:proofErr w:type="spellEnd"/>
      <w:r w:rsidRPr="00D40A91">
        <w:rPr>
          <w:sz w:val="28"/>
          <w:szCs w:val="28"/>
        </w:rPr>
        <w:t xml:space="preserve"> России от 08.07.2014 N ЕВ-10160/08);</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в помещениях социальных служб;</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 xml:space="preserve">в помещениях, занятых органами государственной власти, органами </w:t>
      </w:r>
      <w:r w:rsidRPr="00D40A91">
        <w:rPr>
          <w:sz w:val="28"/>
          <w:szCs w:val="28"/>
        </w:rPr>
        <w:lastRenderedPageBreak/>
        <w:t>местного самоуправления;</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на рабочих местах и в рабочих зонах, организованных в помещениях;</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в лифтах, а также на межквартирных лестничных площадках, лестницах, чердаках и в иных помещениях общего пользования многоквартирных домов (МКД), помещениях, составляющих общее имущество собственников комнат в коммунальных квартирах;</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на детских площадках и в границах территорий, занятых пляжами;</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на автозаправочных станциях;</w:t>
      </w:r>
    </w:p>
    <w:p w:rsidR="00D40A91" w:rsidRPr="00D40A91" w:rsidRDefault="00D40A91" w:rsidP="00D40A91">
      <w:pPr>
        <w:pStyle w:val="ConsPlusNormal"/>
        <w:numPr>
          <w:ilvl w:val="0"/>
          <w:numId w:val="1"/>
        </w:numPr>
        <w:tabs>
          <w:tab w:val="left" w:pos="540"/>
        </w:tabs>
        <w:contextualSpacing/>
        <w:jc w:val="both"/>
        <w:rPr>
          <w:sz w:val="28"/>
          <w:szCs w:val="28"/>
        </w:rPr>
      </w:pPr>
      <w:r w:rsidRPr="00D40A91">
        <w:rPr>
          <w:sz w:val="28"/>
          <w:szCs w:val="28"/>
        </w:rPr>
        <w:t>в помещениях, предназначенных для предоставления услуг общественного питания.</w:t>
      </w:r>
    </w:p>
    <w:p w:rsidR="00D40A91" w:rsidRPr="00D40A91" w:rsidRDefault="00D40A91" w:rsidP="00D40A91">
      <w:pPr>
        <w:pStyle w:val="ConsPlusNormal"/>
        <w:contextualSpacing/>
        <w:jc w:val="both"/>
        <w:rPr>
          <w:sz w:val="28"/>
          <w:szCs w:val="28"/>
        </w:rPr>
      </w:pPr>
      <w:r w:rsidRPr="00D40A91">
        <w:rPr>
          <w:sz w:val="28"/>
          <w:szCs w:val="28"/>
        </w:rPr>
        <w:t xml:space="preserve">Вместе с тем в отдельных случаях курение допускается на основании решения собственника имущества (иного уполномоченного им лица). В частности, курить можно в специально выделенных местах на открытом воздухе или в изолированных помещениях общего пользования МКД, оборудованных системами вентиляции. Также специальные помещения для курения могут быть оборудованы в </w:t>
      </w:r>
      <w:proofErr w:type="gramStart"/>
      <w:r w:rsidRPr="00D40A91">
        <w:rPr>
          <w:sz w:val="28"/>
          <w:szCs w:val="28"/>
        </w:rPr>
        <w:t>аэропортах</w:t>
      </w:r>
      <w:proofErr w:type="gramEnd"/>
      <w:r w:rsidRPr="00D40A91">
        <w:rPr>
          <w:sz w:val="28"/>
          <w:szCs w:val="28"/>
        </w:rPr>
        <w:t xml:space="preserve"> в зонах ожидания зарегистрированных на рейс пассажиров после проведения предполетного досмотра и в зонах для пассажиров, следующих транзитом. Однако при этом должна быть исключена возможность наблюдения за курением табака из других помещений (ч. 2 ст. 12 Закона N 15-ФЗ).</w:t>
      </w:r>
    </w:p>
    <w:p w:rsidR="00D40A91" w:rsidRPr="00D40A91" w:rsidRDefault="00D40A91" w:rsidP="00D40A91">
      <w:pPr>
        <w:pStyle w:val="ConsPlusNormal"/>
        <w:contextualSpacing/>
        <w:jc w:val="both"/>
        <w:rPr>
          <w:sz w:val="28"/>
          <w:szCs w:val="28"/>
        </w:rPr>
      </w:pPr>
      <w:r w:rsidRPr="00D40A91">
        <w:rPr>
          <w:sz w:val="28"/>
          <w:szCs w:val="28"/>
        </w:rPr>
        <w:t>Отметим также, что органы власти субъектов РФ вправе устанавливать дополнительные ограничения курения табака в отдельных общественных местах и в помещениях (ч. 6 ст. 12 Закона N 15-ФЗ).</w:t>
      </w:r>
    </w:p>
    <w:p w:rsidR="00D40A91" w:rsidRPr="00D40A91" w:rsidRDefault="00D40A91" w:rsidP="00D40A91">
      <w:pPr>
        <w:pStyle w:val="ConsPlusNormal"/>
        <w:ind w:left="540"/>
        <w:contextualSpacing/>
        <w:jc w:val="both"/>
        <w:rPr>
          <w:sz w:val="28"/>
          <w:szCs w:val="28"/>
        </w:rPr>
      </w:pPr>
      <w:r w:rsidRPr="00D40A91">
        <w:rPr>
          <w:sz w:val="28"/>
          <w:szCs w:val="28"/>
        </w:rPr>
        <w:t xml:space="preserve">Нарушение запрета курения табака влечет административный штраф в размере от 500 до 1 500 руб. За курение табака на детских площадках штраф составит от 2 000 до 3 000 руб. (ст. 6.24 </w:t>
      </w:r>
      <w:proofErr w:type="spellStart"/>
      <w:r w:rsidRPr="00D40A91">
        <w:rPr>
          <w:sz w:val="28"/>
          <w:szCs w:val="28"/>
        </w:rPr>
        <w:t>КоАП</w:t>
      </w:r>
      <w:proofErr w:type="spellEnd"/>
      <w:r w:rsidRPr="00D40A91">
        <w:rPr>
          <w:sz w:val="28"/>
          <w:szCs w:val="28"/>
        </w:rPr>
        <w:t xml:space="preserve"> РФ; ст. 23 Закона N 15-ФЗ).</w:t>
      </w:r>
    </w:p>
    <w:p w:rsidR="00D40A91" w:rsidRPr="00D40A91" w:rsidRDefault="00D40A91" w:rsidP="00D40A91">
      <w:pPr>
        <w:pStyle w:val="ConsPlusNormal"/>
        <w:contextualSpacing/>
        <w:outlineLvl w:val="0"/>
        <w:rPr>
          <w:sz w:val="28"/>
          <w:szCs w:val="28"/>
        </w:rPr>
      </w:pPr>
      <w:r w:rsidRPr="00D40A91">
        <w:rPr>
          <w:b/>
          <w:bCs/>
          <w:sz w:val="28"/>
          <w:szCs w:val="28"/>
        </w:rPr>
        <w:t>Обозначение общественных мест, где запрещено курение табака</w:t>
      </w:r>
    </w:p>
    <w:p w:rsidR="00D40A91" w:rsidRPr="00D40A91" w:rsidRDefault="00D40A91" w:rsidP="00D40A91">
      <w:pPr>
        <w:pStyle w:val="ConsPlusNormal"/>
        <w:contextualSpacing/>
        <w:jc w:val="both"/>
        <w:rPr>
          <w:sz w:val="28"/>
          <w:szCs w:val="28"/>
        </w:rPr>
      </w:pPr>
      <w:r w:rsidRPr="00D40A91">
        <w:rPr>
          <w:sz w:val="28"/>
          <w:szCs w:val="28"/>
        </w:rPr>
        <w:t xml:space="preserve">Для обозначения территорий, зданий и объектов, где запрещено курение табака, размещается знак в виде круга с перечеркнутым изображением сигареты. </w:t>
      </w:r>
      <w:proofErr w:type="gramStart"/>
      <w:r w:rsidRPr="00D40A91">
        <w:rPr>
          <w:sz w:val="28"/>
          <w:szCs w:val="28"/>
        </w:rPr>
        <w:t xml:space="preserve">Он может сопровождаться надписями "Курение табака, потребление </w:t>
      </w:r>
      <w:proofErr w:type="spellStart"/>
      <w:r w:rsidRPr="00D40A91">
        <w:rPr>
          <w:sz w:val="28"/>
          <w:szCs w:val="28"/>
        </w:rPr>
        <w:t>никотинсодержащей</w:t>
      </w:r>
      <w:proofErr w:type="spellEnd"/>
      <w:r w:rsidRPr="00D40A91">
        <w:rPr>
          <w:sz w:val="28"/>
          <w:szCs w:val="28"/>
        </w:rPr>
        <w:t xml:space="preserve"> продукции и использование кальянов запрещено", "Не курить", "Курить запрещено" и (или) информацией о размере штрафов за курение, потребление </w:t>
      </w:r>
      <w:proofErr w:type="spellStart"/>
      <w:r w:rsidRPr="00D40A91">
        <w:rPr>
          <w:sz w:val="28"/>
          <w:szCs w:val="28"/>
        </w:rPr>
        <w:t>никотинсодержащей</w:t>
      </w:r>
      <w:proofErr w:type="spellEnd"/>
      <w:r w:rsidRPr="00D40A91">
        <w:rPr>
          <w:sz w:val="28"/>
          <w:szCs w:val="28"/>
        </w:rPr>
        <w:t xml:space="preserve"> продукции и использование кальянов (ч. 5 ст. 12 Закона от N 15-ФЗ; п. п. 1, 4 Требований, утв. Приказом Минздрава России от 20.02.2021 N 129н).</w:t>
      </w:r>
      <w:proofErr w:type="gramEnd"/>
    </w:p>
    <w:p w:rsidR="00D40A91" w:rsidRPr="00D40A91" w:rsidRDefault="00D40A91" w:rsidP="00D40A91">
      <w:pPr>
        <w:pStyle w:val="ConsPlusNormal"/>
        <w:contextualSpacing/>
        <w:jc w:val="both"/>
        <w:rPr>
          <w:sz w:val="28"/>
          <w:szCs w:val="28"/>
        </w:rPr>
      </w:pPr>
      <w:r w:rsidRPr="00D40A91">
        <w:rPr>
          <w:sz w:val="28"/>
          <w:szCs w:val="28"/>
        </w:rPr>
        <w:t>На территории, в помещениях и на объектах, где курение табака запрещено, знак размещается у каждого входа (выхода), а также в местах общего пользования, в том числе в туалетах; на транспортных средствах - на дверях с внешней стороны (п. 5 Требований).</w:t>
      </w:r>
    </w:p>
    <w:p w:rsidR="00D40A91" w:rsidRPr="00D40A91" w:rsidRDefault="00D40A91" w:rsidP="00D40A91">
      <w:pPr>
        <w:pStyle w:val="ConsPlusNormal"/>
        <w:contextualSpacing/>
        <w:jc w:val="both"/>
        <w:rPr>
          <w:sz w:val="28"/>
          <w:szCs w:val="28"/>
        </w:rPr>
      </w:pPr>
      <w:r w:rsidRPr="00D40A91">
        <w:rPr>
          <w:sz w:val="28"/>
          <w:szCs w:val="28"/>
        </w:rPr>
        <w:t>Дополнительный знак о запрете курения размещается по решению собственника имущества или иного лица, уполномоченного на то собственником имущества, на территориях и в помещениях, используемых для осуществления деятельности, в том числе (п. 6 Требований):</w:t>
      </w:r>
    </w:p>
    <w:p w:rsidR="00D40A91" w:rsidRPr="00D40A91" w:rsidRDefault="00D40A91" w:rsidP="00D40A91">
      <w:pPr>
        <w:pStyle w:val="ConsPlusNormal"/>
        <w:numPr>
          <w:ilvl w:val="0"/>
          <w:numId w:val="2"/>
        </w:numPr>
        <w:tabs>
          <w:tab w:val="left" w:pos="540"/>
        </w:tabs>
        <w:contextualSpacing/>
        <w:jc w:val="both"/>
        <w:rPr>
          <w:sz w:val="28"/>
          <w:szCs w:val="28"/>
        </w:rPr>
      </w:pPr>
      <w:r w:rsidRPr="00D40A91">
        <w:rPr>
          <w:sz w:val="28"/>
          <w:szCs w:val="28"/>
        </w:rPr>
        <w:t xml:space="preserve">на двери номера или в номере (для помещений, предназначенных для </w:t>
      </w:r>
      <w:r w:rsidRPr="00D40A91">
        <w:rPr>
          <w:sz w:val="28"/>
          <w:szCs w:val="28"/>
        </w:rPr>
        <w:lastRenderedPageBreak/>
        <w:t>предоставления гостиничных услуг, услуг по временному размещению, обеспечению временного проживания);</w:t>
      </w:r>
    </w:p>
    <w:p w:rsidR="00D40A91" w:rsidRPr="00D40A91" w:rsidRDefault="00D40A91" w:rsidP="00D40A91">
      <w:pPr>
        <w:pStyle w:val="ConsPlusNormal"/>
        <w:numPr>
          <w:ilvl w:val="0"/>
          <w:numId w:val="2"/>
        </w:numPr>
        <w:tabs>
          <w:tab w:val="left" w:pos="540"/>
        </w:tabs>
        <w:contextualSpacing/>
        <w:jc w:val="both"/>
        <w:rPr>
          <w:sz w:val="28"/>
          <w:szCs w:val="28"/>
        </w:rPr>
      </w:pPr>
      <w:r w:rsidRPr="00D40A91">
        <w:rPr>
          <w:sz w:val="28"/>
          <w:szCs w:val="28"/>
        </w:rPr>
        <w:t xml:space="preserve">возле </w:t>
      </w:r>
      <w:proofErr w:type="spellStart"/>
      <w:r w:rsidRPr="00D40A91">
        <w:rPr>
          <w:sz w:val="28"/>
          <w:szCs w:val="28"/>
        </w:rPr>
        <w:t>барной</w:t>
      </w:r>
      <w:proofErr w:type="spellEnd"/>
      <w:r w:rsidRPr="00D40A91">
        <w:rPr>
          <w:sz w:val="28"/>
          <w:szCs w:val="28"/>
        </w:rPr>
        <w:t xml:space="preserve"> стойки, в залах, включая банкетные залы, кабины и кабинеты (для помещений, предназначенных для предоставления услуг торговли, общественного питания, помещений рынков);</w:t>
      </w:r>
    </w:p>
    <w:p w:rsidR="00D40A91" w:rsidRPr="00D40A91" w:rsidRDefault="00D40A91" w:rsidP="00D40A91">
      <w:pPr>
        <w:pStyle w:val="ConsPlusNormal"/>
        <w:numPr>
          <w:ilvl w:val="0"/>
          <w:numId w:val="2"/>
        </w:numPr>
        <w:tabs>
          <w:tab w:val="left" w:pos="540"/>
        </w:tabs>
        <w:contextualSpacing/>
        <w:jc w:val="both"/>
        <w:rPr>
          <w:sz w:val="28"/>
          <w:szCs w:val="28"/>
        </w:rPr>
      </w:pPr>
      <w:r w:rsidRPr="00D40A91">
        <w:rPr>
          <w:sz w:val="28"/>
          <w:szCs w:val="28"/>
        </w:rPr>
        <w:t>в тамбуре (для поездов);</w:t>
      </w:r>
    </w:p>
    <w:p w:rsidR="00D40A91" w:rsidRPr="00D40A91" w:rsidRDefault="00D40A91" w:rsidP="00D40A91">
      <w:pPr>
        <w:pStyle w:val="ConsPlusNormal"/>
        <w:numPr>
          <w:ilvl w:val="0"/>
          <w:numId w:val="2"/>
        </w:numPr>
        <w:tabs>
          <w:tab w:val="left" w:pos="540"/>
        </w:tabs>
        <w:contextualSpacing/>
        <w:jc w:val="both"/>
        <w:rPr>
          <w:sz w:val="28"/>
          <w:szCs w:val="28"/>
        </w:rPr>
      </w:pPr>
      <w:r w:rsidRPr="00D40A91">
        <w:rPr>
          <w:sz w:val="28"/>
          <w:szCs w:val="28"/>
        </w:rPr>
        <w:t>в салоне (для воздушных судов).</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t>Помощник прокурора Тимошенко Т.Е.</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lastRenderedPageBreak/>
        <w:t>Случаи, в которых гражданин вправе отказаться от товара, полученного по договору розничной купли-продажи.</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t xml:space="preserve">Гражданин вправе отказаться от товара, полученного по договору розничной купли-продажи, в частности, при </w:t>
      </w:r>
      <w:proofErr w:type="spellStart"/>
      <w:r w:rsidRPr="00D40A91">
        <w:rPr>
          <w:rFonts w:ascii="Times New Roman" w:hAnsi="Times New Roman"/>
          <w:sz w:val="28"/>
          <w:szCs w:val="28"/>
          <w:lang w:eastAsia="ru-RU"/>
        </w:rPr>
        <w:t>непредоставлении</w:t>
      </w:r>
      <w:proofErr w:type="spellEnd"/>
      <w:r w:rsidRPr="00D40A91">
        <w:rPr>
          <w:rFonts w:ascii="Times New Roman" w:hAnsi="Times New Roman"/>
          <w:sz w:val="28"/>
          <w:szCs w:val="28"/>
          <w:lang w:eastAsia="ru-RU"/>
        </w:rPr>
        <w:t xml:space="preserve"> продавцом возможности получить информацию о товаре, а </w:t>
      </w:r>
      <w:proofErr w:type="gramStart"/>
      <w:r w:rsidRPr="00D40A91">
        <w:rPr>
          <w:rFonts w:ascii="Times New Roman" w:hAnsi="Times New Roman"/>
          <w:sz w:val="28"/>
          <w:szCs w:val="28"/>
          <w:lang w:eastAsia="ru-RU"/>
        </w:rPr>
        <w:t>также</w:t>
      </w:r>
      <w:proofErr w:type="gramEnd"/>
      <w:r w:rsidRPr="00D40A91">
        <w:rPr>
          <w:rFonts w:ascii="Times New Roman" w:hAnsi="Times New Roman"/>
          <w:sz w:val="28"/>
          <w:szCs w:val="28"/>
          <w:lang w:eastAsia="ru-RU"/>
        </w:rPr>
        <w:t xml:space="preserve"> если товар ненадлежащего качества. Кроме того, возможен отказ от качественного товара, в том числе приобретенного дистанционно.</w:t>
      </w:r>
      <w:r w:rsidRPr="00D40A91">
        <w:rPr>
          <w:rFonts w:ascii="Times New Roman" w:hAnsi="Times New Roman"/>
          <w:sz w:val="28"/>
          <w:szCs w:val="28"/>
          <w:lang w:eastAsia="ru-RU"/>
        </w:rPr>
        <w:tab/>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Отказ от товара в случае, если не предоставлена возможность получить информацию о товаре</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Продавец обязан своевременно предоставить потребителю необходимую и достоверную информацию о товарах, обеспечивающую возможность их правильного выбора (п. 1 ст. 495 ГК РФ; п. п. 1, 2 ст. 10 Закона от 07.02.1992 N 2300-1).</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Информация о товаре доводится до сведения потребителя в технической документации, прилагаемой к товарам, на этикетках, маркировкой или иными способами (п. 3 ст. 10 Закона N 2300-1).</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Если потребителю не предоставлена возможность незамедлительно получить при заключении договора информацию о товаре, он вправе, в частности, если договор заключен, в разумный срок отказаться от его исполнения и потребовать возврата уплаченной за товар суммы и возмещения других убытков. При отказе от исполнения договора потребитель обязан возвратить товар продавцу (п. 3 ст. 495 ГК РФ; п. 1 ст. 12 Закона N 2300-1).</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Следует отметить, что при определении разумного срока необходимо принимать во внимание срок годности товара, сезонность его использования, потребительские свойства и т.п. (п. 36 Постановления Пленума Верховного Суда РФ от 28.06.2012 N 17).</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Отказ от товара ненадлежащего качества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В случае обнаружения в товаре недостатков, если они не были оговорены продавцом, потребитель вправе, в частности, 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 (п. 1 ст. 18 Закона N 2300-1).</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Под недостатком в товаре понимается несоответствие товара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такого рода обычно используется, или целям, о которых продавец был поставлен в известность потребителем при заключении договора, или образцу и (или) описанию при продаже товара по</w:t>
      </w:r>
      <w:proofErr w:type="gramEnd"/>
      <w:r w:rsidRPr="00D40A91">
        <w:rPr>
          <w:rFonts w:ascii="Times New Roman" w:hAnsi="Times New Roman"/>
          <w:sz w:val="28"/>
          <w:szCs w:val="28"/>
          <w:lang w:eastAsia="ru-RU"/>
        </w:rPr>
        <w:t xml:space="preserve"> образцу и (или) по описанию (преамбула, ст. 4 Закона N 2300-1).</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В частности, некоторые виды технически сложных товаров, в отношении которых не выполнено условие о </w:t>
      </w:r>
      <w:proofErr w:type="spellStart"/>
      <w:r w:rsidRPr="00D40A91">
        <w:rPr>
          <w:rFonts w:ascii="Times New Roman" w:hAnsi="Times New Roman"/>
          <w:sz w:val="28"/>
          <w:szCs w:val="28"/>
          <w:lang w:eastAsia="ru-RU"/>
        </w:rPr>
        <w:t>предустановке</w:t>
      </w:r>
      <w:proofErr w:type="spellEnd"/>
      <w:r w:rsidRPr="00D40A91">
        <w:rPr>
          <w:rFonts w:ascii="Times New Roman" w:hAnsi="Times New Roman"/>
          <w:sz w:val="28"/>
          <w:szCs w:val="28"/>
          <w:lang w:eastAsia="ru-RU"/>
        </w:rPr>
        <w:t xml:space="preserve"> российского программного обеспечения или </w:t>
      </w:r>
      <w:proofErr w:type="gramStart"/>
      <w:r w:rsidRPr="00D40A91">
        <w:rPr>
          <w:rFonts w:ascii="Times New Roman" w:hAnsi="Times New Roman"/>
          <w:sz w:val="28"/>
          <w:szCs w:val="28"/>
          <w:lang w:eastAsia="ru-RU"/>
        </w:rPr>
        <w:t>ПО</w:t>
      </w:r>
      <w:proofErr w:type="gramEnd"/>
      <w:r w:rsidRPr="00D40A91">
        <w:rPr>
          <w:rFonts w:ascii="Times New Roman" w:hAnsi="Times New Roman"/>
          <w:sz w:val="28"/>
          <w:szCs w:val="28"/>
          <w:lang w:eastAsia="ru-RU"/>
        </w:rPr>
        <w:t xml:space="preserve"> </w:t>
      </w:r>
      <w:proofErr w:type="gramStart"/>
      <w:r w:rsidRPr="00D40A91">
        <w:rPr>
          <w:rFonts w:ascii="Times New Roman" w:hAnsi="Times New Roman"/>
          <w:sz w:val="28"/>
          <w:szCs w:val="28"/>
          <w:lang w:eastAsia="ru-RU"/>
        </w:rPr>
        <w:t>стран</w:t>
      </w:r>
      <w:proofErr w:type="gramEnd"/>
      <w:r w:rsidRPr="00D40A91">
        <w:rPr>
          <w:rFonts w:ascii="Times New Roman" w:hAnsi="Times New Roman"/>
          <w:sz w:val="28"/>
          <w:szCs w:val="28"/>
          <w:lang w:eastAsia="ru-RU"/>
        </w:rPr>
        <w:t xml:space="preserve"> ЕАЭС, могут быть признаны товаром с </w:t>
      </w:r>
      <w:r w:rsidRPr="00D40A91">
        <w:rPr>
          <w:rFonts w:ascii="Times New Roman" w:hAnsi="Times New Roman"/>
          <w:sz w:val="28"/>
          <w:szCs w:val="28"/>
          <w:lang w:eastAsia="ru-RU"/>
        </w:rPr>
        <w:lastRenderedPageBreak/>
        <w:t>недостатком (преамбула, п. 4.1 ст. 4 Закона N 2300-1; Перечень, утв. Постановлением Правительства РФ от 18.11.2020 N 1867).</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Соответствующее требование потребитель вправе предъявить продавцу или уполномоченной организации (уполномоченному ИП), а также изготовителю либо импортеру товара, если не истек установленный срок предъявления требования по недостаткам товара (п. п. 1, 2, 3, 6 ст. 18, п. п. 1, 5, 6 ст. 19 Закона N 2300-1).</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Сроки отказа от договора купли-продажи товара и предъявления требования о возврате денежных средств</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По общему правилу вы вправе отказаться от договора купли-продажи товара и требовать возврата уплаченных за некачественный товар денежных сре</w:t>
      </w:r>
      <w:proofErr w:type="gramStart"/>
      <w:r w:rsidRPr="00D40A91">
        <w:rPr>
          <w:rFonts w:ascii="Times New Roman" w:hAnsi="Times New Roman"/>
          <w:sz w:val="28"/>
          <w:szCs w:val="28"/>
          <w:lang w:eastAsia="ru-RU"/>
        </w:rPr>
        <w:t>дств в т</w:t>
      </w:r>
      <w:proofErr w:type="gramEnd"/>
      <w:r w:rsidRPr="00D40A91">
        <w:rPr>
          <w:rFonts w:ascii="Times New Roman" w:hAnsi="Times New Roman"/>
          <w:sz w:val="28"/>
          <w:szCs w:val="28"/>
          <w:lang w:eastAsia="ru-RU"/>
        </w:rPr>
        <w:t>ечение гарантийного срока или срока годности товара, а если он не установлен - в разумный срок, но в пределах двух лет со дня передачи вам товара. В последнем случае более длительные сроки могут быть установлены законом или договором купли-продажи (п. 1 ст. 19 Закона N 2300-1).</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Если гарантийный срок в отношении товара не установлен либо составляет менее двух лет и недостатки товара обнаружены по истечении гарантийного срока, но в пределах двух лет, то вы вправе отказаться от договора, если докажете, что недостатки товара возникли до его передачи вам или по причинам, возникшим до этого момента (п. 6 ст. 18, п. 5 ст. 19 Закона N 2300-1).</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Кроме того, если в приобретенном товаре выявлен существенный недостаток и ваше требование о его устранении не будет удовлетворено в течение 20 дней со дня его предъявления или обнаруженный недостаток товара является неустранимым, вы вправе возвратить товар изготовителю (уполномоченной организации или уполномоченному ИП, импортеру) и потребовать возврата уплаченной за него денежной суммы (п. 6 ст. 19 Закона N 2300-1).</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Отдельные сроки установлены в случае, если вы намерены вернуть технически сложный товар (п. 1 ст. 18 Закона N 2300-1; Перечень, утв. Постановлением Правительства РФ от 10.11.2011 N 924; п. 38 Постановления Пленума Верховного Суда РФ N 17; п. 8 Обзора, утв. Президиумом Верховного Суда РФ 20.12.2016).</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Отказ от товара надлежащего качества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Потребитель вправе отказаться от исполнения договора купли-продажи, потребовать возврата уплаченной за товар денежной суммы и вернуть непродовольственный товар надлежащего качества, который не подошел ему по форме, габаритам, фасону, расцветке, размеру или комплектации, если соблюдены следующие условия (п. 1 ст. 502 ГК РФ; п. п. 1, 2 ст. 25 Закона N 2300-1):</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1)</w:t>
      </w:r>
      <w:r w:rsidRPr="00D40A91">
        <w:rPr>
          <w:rFonts w:ascii="Times New Roman" w:hAnsi="Times New Roman"/>
          <w:sz w:val="28"/>
          <w:szCs w:val="28"/>
          <w:lang w:eastAsia="ru-RU"/>
        </w:rPr>
        <w:tab/>
        <w:t>с момента приобретения товара прошло не более 14 дней, не считая дня покупки товара. Продавец может установить более длительный срок возврата, поэтому информацию о сроках возврата товара необходимо уточнить у продавца или в документах на товар;</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2)</w:t>
      </w:r>
      <w:r w:rsidRPr="00D40A91">
        <w:rPr>
          <w:rFonts w:ascii="Times New Roman" w:hAnsi="Times New Roman"/>
          <w:sz w:val="28"/>
          <w:szCs w:val="28"/>
          <w:lang w:eastAsia="ru-RU"/>
        </w:rPr>
        <w:tab/>
        <w:t xml:space="preserve">приобретенный товар не был в употреблении, сохранены его </w:t>
      </w:r>
      <w:r w:rsidRPr="00D40A91">
        <w:rPr>
          <w:rFonts w:ascii="Times New Roman" w:hAnsi="Times New Roman"/>
          <w:sz w:val="28"/>
          <w:szCs w:val="28"/>
          <w:lang w:eastAsia="ru-RU"/>
        </w:rPr>
        <w:lastRenderedPageBreak/>
        <w:t>товарный вид, потребительские свойства, пломбы, фабричные ярлыки, а также имеются доказательства приобретения товара у данного продавца - товарный или кассовый чек, иные документы, подтверждающие оплату товара. В то же время отсутствие указанных документов не лишает потребителя возможности ссылаться на свидетельские показания;</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3)</w:t>
      </w:r>
      <w:r w:rsidRPr="00D40A91">
        <w:rPr>
          <w:rFonts w:ascii="Times New Roman" w:hAnsi="Times New Roman"/>
          <w:sz w:val="28"/>
          <w:szCs w:val="28"/>
          <w:lang w:eastAsia="ru-RU"/>
        </w:rPr>
        <w:tab/>
        <w:t xml:space="preserve">на день обращения к продавцу аналогичный товар других размера, формы, габарита, фасона, расцветки или комплектации, необходимый покупателю, в продаже у него отсутствует, в </w:t>
      </w:r>
      <w:proofErr w:type="gramStart"/>
      <w:r w:rsidRPr="00D40A91">
        <w:rPr>
          <w:rFonts w:ascii="Times New Roman" w:hAnsi="Times New Roman"/>
          <w:sz w:val="28"/>
          <w:szCs w:val="28"/>
          <w:lang w:eastAsia="ru-RU"/>
        </w:rPr>
        <w:t>связи</w:t>
      </w:r>
      <w:proofErr w:type="gramEnd"/>
      <w:r w:rsidRPr="00D40A91">
        <w:rPr>
          <w:rFonts w:ascii="Times New Roman" w:hAnsi="Times New Roman"/>
          <w:sz w:val="28"/>
          <w:szCs w:val="28"/>
          <w:lang w:eastAsia="ru-RU"/>
        </w:rPr>
        <w:t xml:space="preserve"> с чем обмен приобретенного потребителем товара невозможен.</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При этом следует учитывать, что некоторые непродовольственные товары надлежащего качества по общему правилу не подлежат обмену (например, предметы личной гигиены (зубные щетки, расчески и другие аналогичные товары), лекарственные препараты) (п. 1 ст. 25 Закона N 2300-1; Перечень, утв. Постановлением Правительства РФ от 31.12.2020 N 2463).</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Вместе с тем возможность обмена таких непродовольственных товаров надлежащего качества может быть установлена продавцом (Постановление Верховного Суда РФ от 06.07.2016 N 307-АД16-7457 по делу N А56-57628/2015).</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Отказ от товара, приобретенного дистанционно</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При соблюдении определенных условий потребитель может потребовать возврата уплаченных за товар денежных средств и вернуть товар надлежащего качества, приобретенный дистанционно. Если товар некачественный, вернуть его можно также при наличии оснований, указанных в разделе "Отказ от товара ненадлежащего качества" (п. п. 4, 5 ст. 26.1 Закона N 2300-1).</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Справка. Дистанционный способ продажи товара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При дистанционной продаже товаров договор розничной купли-продажи заключается на основании ознакомления покупателя с описанием товара, размещенным продавцом в сети Интернет, в программе для электронных вычислительных машин, в средствах связи (телевизионной, почтовой, радиосвязи и др.), в каталогах, проспектах, буклетах, на фотоснимках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(п. 2 ст</w:t>
      </w:r>
      <w:proofErr w:type="gramEnd"/>
      <w:r w:rsidRPr="00D40A91">
        <w:rPr>
          <w:rFonts w:ascii="Times New Roman" w:hAnsi="Times New Roman"/>
          <w:sz w:val="28"/>
          <w:szCs w:val="28"/>
          <w:lang w:eastAsia="ru-RU"/>
        </w:rPr>
        <w:t xml:space="preserve">. </w:t>
      </w:r>
      <w:proofErr w:type="gramStart"/>
      <w:r w:rsidRPr="00D40A91">
        <w:rPr>
          <w:rFonts w:ascii="Times New Roman" w:hAnsi="Times New Roman"/>
          <w:sz w:val="28"/>
          <w:szCs w:val="28"/>
          <w:lang w:eastAsia="ru-RU"/>
        </w:rPr>
        <w:t>497 ГК РФ; п. 1 ст. 26.1 Закона N 2300-1; п. п. 17, 18 Правил, утв. Постановлением Правительства РФ N 2463).</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Отказаться от полученного товара, приобретенного таким способом, можно в следующие сроки (п. 4 ст. 26.1 Закона N 2300-1):</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в течение семи дней после передачи товара;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в течение трех месяцев с момента передачи товара в случае, если информация о порядке и сроках возврата товара надлежащего качества не была предоставлена в письменной форме в момент доставки товара.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По общему правилу отказаться от товара в указанные сроки можно (за исключением лекарственных препаратов для медицинского применения), если соблюдены следующие условия (</w:t>
      </w:r>
      <w:proofErr w:type="spellStart"/>
      <w:r w:rsidRPr="00D40A91">
        <w:rPr>
          <w:rFonts w:ascii="Times New Roman" w:hAnsi="Times New Roman"/>
          <w:sz w:val="28"/>
          <w:szCs w:val="28"/>
          <w:lang w:eastAsia="ru-RU"/>
        </w:rPr>
        <w:t>абз</w:t>
      </w:r>
      <w:proofErr w:type="spellEnd"/>
      <w:r w:rsidRPr="00D40A91">
        <w:rPr>
          <w:rFonts w:ascii="Times New Roman" w:hAnsi="Times New Roman"/>
          <w:sz w:val="28"/>
          <w:szCs w:val="28"/>
          <w:lang w:eastAsia="ru-RU"/>
        </w:rPr>
        <w:t xml:space="preserve">. 3, 4 п. 4 ст. 26.1 Закона N 2300-1; п. п. 13, 24, 26, 41, 45, 51 Правил N 2463; п. 43 Постановления Пленума </w:t>
      </w:r>
      <w:r w:rsidRPr="00D40A91">
        <w:rPr>
          <w:rFonts w:ascii="Times New Roman" w:hAnsi="Times New Roman"/>
          <w:sz w:val="28"/>
          <w:szCs w:val="28"/>
          <w:lang w:eastAsia="ru-RU"/>
        </w:rPr>
        <w:lastRenderedPageBreak/>
        <w:t>Верховного Суда РФ N 17):</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1)</w:t>
      </w:r>
      <w:r w:rsidRPr="00D40A91">
        <w:rPr>
          <w:rFonts w:ascii="Times New Roman" w:hAnsi="Times New Roman"/>
          <w:sz w:val="28"/>
          <w:szCs w:val="28"/>
          <w:lang w:eastAsia="ru-RU"/>
        </w:rPr>
        <w:tab/>
        <w:t>сохранены товарный вид, потребительские свойства товара, а также имеется документ, подтверждающий факт и условия их покупки. При отсутствии такого документа можно ссылаться на другие доказательства приобретения товара у данного продавца, например на выписку с банковского счета, содержащую сведения, позволяющие идентифицировать покупку. При этом оплата потребителем товара путем перевода средств на счет третьего лица, указанного продавцом, не освобождает продавца от обязанности возвратить уплаченную за товар сумму при его возврате;</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2)</w:t>
      </w:r>
      <w:r w:rsidRPr="00D40A91">
        <w:rPr>
          <w:rFonts w:ascii="Times New Roman" w:hAnsi="Times New Roman"/>
          <w:sz w:val="28"/>
          <w:szCs w:val="28"/>
          <w:lang w:eastAsia="ru-RU"/>
        </w:rPr>
        <w:tab/>
        <w:t>товар не имеет индивидуально-определенных свойств, в силу которых он может быть использован исключительно вами.</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При приобретении лекарственного препарата для медицинского применения дистанционным способом вы вправе отказаться от доставленного препарата надлежащего качества до оплаты заказа. В этом случае оплачивается только доставка (п. п. 1, 4 ст. 26.1 Закона N 2300-1; п. 26 Правил N 2463; п. п. 1, 2, 25 Правил, утв. Постановлением Правительства РФ от 16.05.2020 N 697).</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t>Помощник прокурора Тимошенко Т.Е.</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lastRenderedPageBreak/>
        <w:t xml:space="preserve">Признание договора ОСАГО </w:t>
      </w:r>
      <w:proofErr w:type="gramStart"/>
      <w:r w:rsidRPr="00D40A91">
        <w:rPr>
          <w:rFonts w:ascii="Times New Roman" w:hAnsi="Times New Roman"/>
          <w:sz w:val="28"/>
          <w:szCs w:val="28"/>
          <w:lang w:eastAsia="ru-RU"/>
        </w:rPr>
        <w:t>недействительным</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t>Договор ОСАГО может быть признан недействительным, в частности, при несоблюдении письменной формы договора, если договор нарушает требования закона или иного правового акта, подписан под влиянием существенного заблуждения, обмана, угроз, насилия или неблагоприятных обстоятельств.</w:t>
      </w:r>
      <w:r w:rsidRPr="00D40A91">
        <w:rPr>
          <w:rFonts w:ascii="Times New Roman" w:hAnsi="Times New Roman"/>
          <w:sz w:val="28"/>
          <w:szCs w:val="28"/>
          <w:lang w:eastAsia="ru-RU"/>
        </w:rPr>
        <w:tab/>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Договор обязательного страхования гражданской ответственности владельцев транспортных средств (договор ОСАГО) - это договор страхования, по которому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потерпевшим причиненный вследствие этого события вред их жизни, здоровью или имуществу (осуществить страховое возмещение в форме страховой выплаты или путем организации и (или) оплаты восстановительного ремонта поврежденного транспортного</w:t>
      </w:r>
      <w:proofErr w:type="gramEnd"/>
      <w:r w:rsidRPr="00D40A91">
        <w:rPr>
          <w:rFonts w:ascii="Times New Roman" w:hAnsi="Times New Roman"/>
          <w:sz w:val="28"/>
          <w:szCs w:val="28"/>
          <w:lang w:eastAsia="ru-RU"/>
        </w:rPr>
        <w:t xml:space="preserve"> средства) в пределах определенной договором суммы (страховой суммы) (п. 1 ст. 1 Закона от 25.04.2002 N 40-ФЗ).</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Для признания договора ОСАГО недействительным должны быть установлены определенные факты (основания). При этом сделка может быть недействительна в силу признания ее таковой судом (</w:t>
      </w:r>
      <w:proofErr w:type="spellStart"/>
      <w:r w:rsidRPr="00D40A91">
        <w:rPr>
          <w:rFonts w:ascii="Times New Roman" w:hAnsi="Times New Roman"/>
          <w:sz w:val="28"/>
          <w:szCs w:val="28"/>
          <w:lang w:eastAsia="ru-RU"/>
        </w:rPr>
        <w:t>оспоримая</w:t>
      </w:r>
      <w:proofErr w:type="spellEnd"/>
      <w:r w:rsidRPr="00D40A91">
        <w:rPr>
          <w:rFonts w:ascii="Times New Roman" w:hAnsi="Times New Roman"/>
          <w:sz w:val="28"/>
          <w:szCs w:val="28"/>
          <w:lang w:eastAsia="ru-RU"/>
        </w:rPr>
        <w:t xml:space="preserve"> сделка) либо независимо от такого признания (ничтожная сделка) (п. 1 ст. 166, п. 1 ст. 431.1 ГК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Основания и последствия признания договора ОСАГО </w:t>
      </w:r>
      <w:proofErr w:type="gramStart"/>
      <w:r w:rsidRPr="00D40A91">
        <w:rPr>
          <w:rFonts w:ascii="Times New Roman" w:hAnsi="Times New Roman"/>
          <w:sz w:val="28"/>
          <w:szCs w:val="28"/>
          <w:lang w:eastAsia="ru-RU"/>
        </w:rPr>
        <w:t>недействительным</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Договор ОСАГО может быть признан недействительным по основаниям, применимым для всех сделок, в частности (п. п. 1, 2 ст. 26, ст. ст. 168, 169, 171, 172, 175, 177 - 179 ГК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если договор нарушает требования закона или иного правового акта;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сделка была совершена с целью, заведомо противоправной основам правопорядка и нравственности. Такая сделка является ничтожной;</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договор заключен несовершеннолетним, не достигшим 14 лет (в этом случае сделка ничтожна) либо несовершеннолетним в возрасте от 14 до 18 лет без согласия родителей, усыновителей или попечителя;</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договор заключен лицом, признанным недееспособным вследствие психического расстройства. Такая сделка также ничтожна;</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договор заключен лицом дееспособным, но находившимся в момент совершения сделки в таком состоянии, когда он не был способен понимать значение своих действий или руководить ими;</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w:t>
      </w:r>
      <w:r w:rsidRPr="00D40A91">
        <w:rPr>
          <w:rFonts w:ascii="Times New Roman" w:hAnsi="Times New Roman"/>
          <w:sz w:val="28"/>
          <w:szCs w:val="28"/>
          <w:lang w:eastAsia="ru-RU"/>
        </w:rPr>
        <w:tab/>
        <w:t>договор был заключен под влиянием существенного заблуждения, обмана, угроз, насилия или неблагоприятных обстоятельств.</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На ОСАГО распространяется обязательное требование к форме договора страхования: договор ОСАГО должен быть заключен в письменной форме. Это может быть сделано путем составления одного документа (в том числе электронного), обмена электронными документами или иными данными либо путем вручения страховщиком страхователю страхового полиса </w:t>
      </w:r>
      <w:r w:rsidRPr="00D40A91">
        <w:rPr>
          <w:rFonts w:ascii="Times New Roman" w:hAnsi="Times New Roman"/>
          <w:sz w:val="28"/>
          <w:szCs w:val="28"/>
          <w:lang w:eastAsia="ru-RU"/>
        </w:rPr>
        <w:lastRenderedPageBreak/>
        <w:t>(свидетельства, сертификата, квитанции), подписанного страховщиком. Несоблюдение письменной формы договора ОСАГО влечет его недействительность (п. 1 ст. 160, п. п. 1, 2 ст. 940 ГК РФ; п. п. 1, 7, 7.2 ст. 15 Закона N 40-ФЗ).</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Страховщик может обратиться в суд с требованием о признании договора ОСАГО недействительным, если страхователь сообщил ему заведомо ложные сведения об обстоятельствах, имеющих существенное 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 и не отпали (п. 3 ст. 944 ГК РФ).</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Например, договор ОСАГО может быть признан судом недействительным по требованию страховщика, если страхователь не сообщил ему о том, что транспортное средство используется в качестве такси (Определение Второго кассационного суда общей юрисдикции от 20.04.2021 N 88-9086/2021 по делу N 2-1324/2020).</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Необходимо отметить, что договор ОСАГО может быть признан недействительным как полностью, так и в части. При этом недействительность части договора не влечет недействительности прочих его частей, если можно предположить, что договор был бы совершен без включения недействительной части. То есть в таком случае другие положения договора ОСАГО продолжают применяться (ст. 180 ГК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 При недействительности сделки каждая из сторон обязана возвратить другой все полученное по сделке (п. п. 1, 2 ст. 167 ГК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Порядок признания договора ОСАГО </w:t>
      </w:r>
      <w:proofErr w:type="gramStart"/>
      <w:r w:rsidRPr="00D40A91">
        <w:rPr>
          <w:rFonts w:ascii="Times New Roman" w:hAnsi="Times New Roman"/>
          <w:sz w:val="28"/>
          <w:szCs w:val="28"/>
          <w:lang w:eastAsia="ru-RU"/>
        </w:rPr>
        <w:t>недействительным</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Для признания договора ОСАГО </w:t>
      </w:r>
      <w:proofErr w:type="gramStart"/>
      <w:r w:rsidRPr="00D40A91">
        <w:rPr>
          <w:rFonts w:ascii="Times New Roman" w:hAnsi="Times New Roman"/>
          <w:sz w:val="28"/>
          <w:szCs w:val="28"/>
          <w:lang w:eastAsia="ru-RU"/>
        </w:rPr>
        <w:t>недействительным</w:t>
      </w:r>
      <w:proofErr w:type="gramEnd"/>
      <w:r w:rsidRPr="00D40A91">
        <w:rPr>
          <w:rFonts w:ascii="Times New Roman" w:hAnsi="Times New Roman"/>
          <w:sz w:val="28"/>
          <w:szCs w:val="28"/>
          <w:lang w:eastAsia="ru-RU"/>
        </w:rPr>
        <w:t xml:space="preserve"> необходимо обращаться в районный суд в порядке искового производства. Как правило, в иске </w:t>
      </w:r>
      <w:proofErr w:type="gramStart"/>
      <w:r w:rsidRPr="00D40A91">
        <w:rPr>
          <w:rFonts w:ascii="Times New Roman" w:hAnsi="Times New Roman"/>
          <w:sz w:val="28"/>
          <w:szCs w:val="28"/>
          <w:lang w:eastAsia="ru-RU"/>
        </w:rPr>
        <w:t>заявляется</w:t>
      </w:r>
      <w:proofErr w:type="gramEnd"/>
      <w:r w:rsidRPr="00D40A91">
        <w:rPr>
          <w:rFonts w:ascii="Times New Roman" w:hAnsi="Times New Roman"/>
          <w:sz w:val="28"/>
          <w:szCs w:val="28"/>
          <w:lang w:eastAsia="ru-RU"/>
        </w:rPr>
        <w:t xml:space="preserve"> требование о признании договора недействительным и применении последствий недействительности сделки (</w:t>
      </w:r>
      <w:proofErr w:type="spellStart"/>
      <w:r w:rsidRPr="00D40A91">
        <w:rPr>
          <w:rFonts w:ascii="Times New Roman" w:hAnsi="Times New Roman"/>
          <w:sz w:val="28"/>
          <w:szCs w:val="28"/>
          <w:lang w:eastAsia="ru-RU"/>
        </w:rPr>
        <w:t>оспоримой</w:t>
      </w:r>
      <w:proofErr w:type="spellEnd"/>
      <w:r w:rsidRPr="00D40A91">
        <w:rPr>
          <w:rFonts w:ascii="Times New Roman" w:hAnsi="Times New Roman"/>
          <w:sz w:val="28"/>
          <w:szCs w:val="28"/>
          <w:lang w:eastAsia="ru-RU"/>
        </w:rPr>
        <w:t xml:space="preserve"> либо ничтожной) (ст. 12 ГК РФ; ст. ст. 24, 131 ГПК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Требование о признании договора недействительным по </w:t>
      </w:r>
      <w:proofErr w:type="spellStart"/>
      <w:r w:rsidRPr="00D40A91">
        <w:rPr>
          <w:rFonts w:ascii="Times New Roman" w:hAnsi="Times New Roman"/>
          <w:sz w:val="28"/>
          <w:szCs w:val="28"/>
          <w:lang w:eastAsia="ru-RU"/>
        </w:rPr>
        <w:t>оспоримости</w:t>
      </w:r>
      <w:proofErr w:type="spellEnd"/>
      <w:r w:rsidRPr="00D40A91">
        <w:rPr>
          <w:rFonts w:ascii="Times New Roman" w:hAnsi="Times New Roman"/>
          <w:sz w:val="28"/>
          <w:szCs w:val="28"/>
          <w:lang w:eastAsia="ru-RU"/>
        </w:rPr>
        <w:t xml:space="preserve"> может быть предъявлено стороной сделки или иным лицом, указанным в законе (п. 2 ст. 166 ГК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Требование о применении последствий недействительности ничтожной сделки может заявить сторона сделки либо иное лицо, указанное в законе (например, родители несовершеннолетнего в возрасте от 14 до 18 лет, заключившего договор ОСАГО без их согласия), а также если законодательством не предусмотрен иной способ защиты прав этого лица (п. 3 ст. 166, п. 1 ст. 175 ГК РФ;</w:t>
      </w:r>
      <w:proofErr w:type="gramEnd"/>
      <w:r w:rsidRPr="00D40A91">
        <w:rPr>
          <w:rFonts w:ascii="Times New Roman" w:hAnsi="Times New Roman"/>
          <w:sz w:val="28"/>
          <w:szCs w:val="28"/>
          <w:lang w:eastAsia="ru-RU"/>
        </w:rPr>
        <w:t xml:space="preserve"> п. 78 Постановления Пленума Верховного Суда РФ от 23.06.2015 N 25).</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 xml:space="preserve">Заявление о недействительности сделки (договора), сделанное в любой форме (требование, предъявленное в суд, возражение ответчика против иска </w:t>
      </w:r>
      <w:r w:rsidRPr="00D40A91">
        <w:rPr>
          <w:rFonts w:ascii="Times New Roman" w:hAnsi="Times New Roman"/>
          <w:sz w:val="28"/>
          <w:szCs w:val="28"/>
          <w:lang w:eastAsia="ru-RU"/>
        </w:rPr>
        <w:lastRenderedPageBreak/>
        <w:t>и т.п.), не имеет правового значения, если ссылающееся на недействительность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 (п. 5 ст. 166 ГК РФ;</w:t>
      </w:r>
      <w:proofErr w:type="gramEnd"/>
      <w:r w:rsidRPr="00D40A91">
        <w:rPr>
          <w:rFonts w:ascii="Times New Roman" w:hAnsi="Times New Roman"/>
          <w:sz w:val="28"/>
          <w:szCs w:val="28"/>
          <w:lang w:eastAsia="ru-RU"/>
        </w:rPr>
        <w:t xml:space="preserve"> п. 70 Постановления Пленума Верховного Суда РФ N 25).</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По общему правилу иск предъявляется в районный суд по адресу ответчика - страховщика. Если иск вытекает из деятельности филиала или представительства страховой организации, его можно подать также по адресу филиала или представительства страховщика. В рамках защиты прав потребителя иск также можно предъявить по месту жительства или месту пребывания истца либо по месту заключения или по месту исполнения договора ОСАГО (ст. 28, ч. 2, 7 ст. 29 ГПК РФ; п. п. 1, 3, 90 Постановления Пленума Верховного Суда РФ от 26.12.2017 N 58).</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При обращении в суд следует учитывать срок исковой давности (ст. 195 ГК РФ).</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 xml:space="preserve">Если заявляется требование о признании договора </w:t>
      </w:r>
      <w:proofErr w:type="gramStart"/>
      <w:r w:rsidRPr="00D40A91">
        <w:rPr>
          <w:rFonts w:ascii="Times New Roman" w:hAnsi="Times New Roman"/>
          <w:sz w:val="28"/>
          <w:szCs w:val="28"/>
          <w:lang w:eastAsia="ru-RU"/>
        </w:rPr>
        <w:t>недействительным</w:t>
      </w:r>
      <w:proofErr w:type="gramEnd"/>
      <w:r w:rsidRPr="00D40A91">
        <w:rPr>
          <w:rFonts w:ascii="Times New Roman" w:hAnsi="Times New Roman"/>
          <w:sz w:val="28"/>
          <w:szCs w:val="28"/>
          <w:lang w:eastAsia="ru-RU"/>
        </w:rPr>
        <w:t xml:space="preserve"> и применении последствий недействительности ничтожной сделки, срок исковой давности составляет три года. Он исчисляется со дня, когда началось исполнение ничтожной сделки. Но если иск предъявлен лицом, которое не является стороной сделки, то срок течет со дня, когда это лицо узнало или должно было узнать о начале ее исполнения, </w:t>
      </w:r>
      <w:proofErr w:type="gramStart"/>
      <w:r w:rsidRPr="00D40A91">
        <w:rPr>
          <w:rFonts w:ascii="Times New Roman" w:hAnsi="Times New Roman"/>
          <w:sz w:val="28"/>
          <w:szCs w:val="28"/>
          <w:lang w:eastAsia="ru-RU"/>
        </w:rPr>
        <w:t>но</w:t>
      </w:r>
      <w:proofErr w:type="gramEnd"/>
      <w:r w:rsidRPr="00D40A91">
        <w:rPr>
          <w:rFonts w:ascii="Times New Roman" w:hAnsi="Times New Roman"/>
          <w:sz w:val="28"/>
          <w:szCs w:val="28"/>
          <w:lang w:eastAsia="ru-RU"/>
        </w:rPr>
        <w:t xml:space="preserve"> во всяком случае не может превышать 10 лет со дня начала исполнения сделки и начинает течь не ранее 01.09.2013. Если сделка не исполнялась, то срок исковой давности течь не будет (п. 3 ст. 166, п. 1 ст. 181 ГК РФ; ч. 9 ст. 3 Закона от 07.05.2013 N 100-ФЗ; п. 101 Постановления Пленума Верховного Суда РФ N 25).</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roofErr w:type="gramStart"/>
      <w:r w:rsidRPr="00D40A91">
        <w:rPr>
          <w:rFonts w:ascii="Times New Roman" w:hAnsi="Times New Roman"/>
          <w:sz w:val="28"/>
          <w:szCs w:val="28"/>
          <w:lang w:eastAsia="ru-RU"/>
        </w:rPr>
        <w:t xml:space="preserve">Если же вы обращаетесь в суд для признания договора недействительным и применения последствий недействительности </w:t>
      </w:r>
      <w:proofErr w:type="spellStart"/>
      <w:r w:rsidRPr="00D40A91">
        <w:rPr>
          <w:rFonts w:ascii="Times New Roman" w:hAnsi="Times New Roman"/>
          <w:sz w:val="28"/>
          <w:szCs w:val="28"/>
          <w:lang w:eastAsia="ru-RU"/>
        </w:rPr>
        <w:t>оспоримой</w:t>
      </w:r>
      <w:proofErr w:type="spellEnd"/>
      <w:r w:rsidRPr="00D40A91">
        <w:rPr>
          <w:rFonts w:ascii="Times New Roman" w:hAnsi="Times New Roman"/>
          <w:sz w:val="28"/>
          <w:szCs w:val="28"/>
          <w:lang w:eastAsia="ru-RU"/>
        </w:rPr>
        <w:t xml:space="preserve"> сделки, срок исковой давности составляет год со дня прекращения насилия или угрозы, под влиянием которых была совершена сделка, либо со дня, когда вы узнали или должны были узнать об иных обстоятельствах, являющихся основанием для признания сделки недействительной (п. 1 ст. 179, п. 2 ст. 181</w:t>
      </w:r>
      <w:proofErr w:type="gramEnd"/>
      <w:r w:rsidRPr="00D40A91">
        <w:rPr>
          <w:rFonts w:ascii="Times New Roman" w:hAnsi="Times New Roman"/>
          <w:sz w:val="28"/>
          <w:szCs w:val="28"/>
          <w:lang w:eastAsia="ru-RU"/>
        </w:rPr>
        <w:t xml:space="preserve"> </w:t>
      </w:r>
      <w:proofErr w:type="gramStart"/>
      <w:r w:rsidRPr="00D40A91">
        <w:rPr>
          <w:rFonts w:ascii="Times New Roman" w:hAnsi="Times New Roman"/>
          <w:sz w:val="28"/>
          <w:szCs w:val="28"/>
          <w:lang w:eastAsia="ru-RU"/>
        </w:rPr>
        <w:t>ГК РФ).</w:t>
      </w:r>
      <w:proofErr w:type="gramEnd"/>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Исковое заявление принимается судом к рассмотрению независимо от истечения срока исковой давности. Однако</w:t>
      </w:r>
      <w:proofErr w:type="gramStart"/>
      <w:r w:rsidRPr="00D40A91">
        <w:rPr>
          <w:rFonts w:ascii="Times New Roman" w:hAnsi="Times New Roman"/>
          <w:sz w:val="28"/>
          <w:szCs w:val="28"/>
          <w:lang w:eastAsia="ru-RU"/>
        </w:rPr>
        <w:t>,</w:t>
      </w:r>
      <w:proofErr w:type="gramEnd"/>
      <w:r w:rsidRPr="00D40A91">
        <w:rPr>
          <w:rFonts w:ascii="Times New Roman" w:hAnsi="Times New Roman"/>
          <w:sz w:val="28"/>
          <w:szCs w:val="28"/>
          <w:lang w:eastAsia="ru-RU"/>
        </w:rPr>
        <w:t xml:space="preserve"> если до вынесения судом решения сторона в споре заявит об истечении срока исковой давности, в удовлетворении иска судом будет отказано (п. п. 1, 2 ст. 199 ГК РФ; Апелляционное определение Московского городского суда от 16.09.2020 по делу N 33-35632/2020).</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r>
      <w:r w:rsidRPr="00D40A91">
        <w:rPr>
          <w:rFonts w:ascii="Times New Roman" w:hAnsi="Times New Roman"/>
          <w:sz w:val="28"/>
          <w:szCs w:val="28"/>
          <w:lang w:eastAsia="ru-RU"/>
        </w:rPr>
        <w:tab/>
        <w:t>Помощник прокурора Тимошенко Т.Е.</w:t>
      </w: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2A0B03" w:rsidRPr="00D40A91" w:rsidRDefault="002A0B03"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widowControl w:val="0"/>
        <w:autoSpaceDE w:val="0"/>
        <w:autoSpaceDN w:val="0"/>
        <w:spacing w:after="0" w:line="240" w:lineRule="auto"/>
        <w:ind w:firstLine="540"/>
        <w:contextualSpacing/>
        <w:jc w:val="both"/>
        <w:rPr>
          <w:rFonts w:ascii="Times New Roman" w:hAnsi="Times New Roman"/>
          <w:sz w:val="28"/>
          <w:szCs w:val="28"/>
          <w:lang w:eastAsia="ru-RU"/>
        </w:rPr>
      </w:pP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lastRenderedPageBreak/>
        <w:t>НДФЛ при переводе денежных средств на банковскую карту другого лица.</w:t>
      </w: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Сумма денежного перевода признается объектом налогообложения по НДФЛ при наличии между физическими лицами трудовых и (или) гражданско-правовых отношений (за исключением, в частности, дарения).</w:t>
      </w:r>
      <w:r w:rsidRPr="00D40A91">
        <w:rPr>
          <w:rFonts w:ascii="Times New Roman" w:hAnsi="Times New Roman"/>
          <w:sz w:val="28"/>
          <w:szCs w:val="28"/>
        </w:rPr>
        <w:tab/>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Если вы являетесь резидентом РФ, объектом налогообложения по НДФЛ признается доход (экономическая выгода), полученный как от источников в РФ, так и за ее пределами. Если вы не являетесь резидентом РФ, объектом налогообложения признается только доход, полученный от источников в РФ (п. 1 ст. 41, ст. 209 НК РФ).</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 xml:space="preserve">По общему правилу налоговыми резидентами признаются </w:t>
      </w:r>
      <w:proofErr w:type="spellStart"/>
      <w:r w:rsidRPr="00D40A91">
        <w:rPr>
          <w:rFonts w:ascii="Times New Roman" w:hAnsi="Times New Roman"/>
          <w:sz w:val="28"/>
          <w:szCs w:val="28"/>
        </w:rPr>
        <w:t>физлица</w:t>
      </w:r>
      <w:proofErr w:type="spellEnd"/>
      <w:r w:rsidRPr="00D40A91">
        <w:rPr>
          <w:rFonts w:ascii="Times New Roman" w:hAnsi="Times New Roman"/>
          <w:sz w:val="28"/>
          <w:szCs w:val="28"/>
        </w:rPr>
        <w:t>, фактически находящиеся в РФ не менее 183 календарных дней в течение 12 следующих подряд месяцев (п. 2 ст. 207 НК РФ).</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К числу доходов, подлежащих обложению НДФЛ, полученных от физического лица, относятся, в частности (</w:t>
      </w:r>
      <w:proofErr w:type="spellStart"/>
      <w:r w:rsidRPr="00D40A91">
        <w:rPr>
          <w:rFonts w:ascii="Times New Roman" w:hAnsi="Times New Roman"/>
          <w:sz w:val="28"/>
          <w:szCs w:val="28"/>
        </w:rPr>
        <w:t>пп</w:t>
      </w:r>
      <w:proofErr w:type="spellEnd"/>
      <w:r w:rsidRPr="00D40A91">
        <w:rPr>
          <w:rFonts w:ascii="Times New Roman" w:hAnsi="Times New Roman"/>
          <w:sz w:val="28"/>
          <w:szCs w:val="28"/>
        </w:rPr>
        <w:t>. 4, 5, 6 п. 1 ст. 208 НК РФ):</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w:t>
      </w:r>
      <w:r w:rsidRPr="00D40A91">
        <w:rPr>
          <w:rFonts w:ascii="Times New Roman" w:hAnsi="Times New Roman"/>
          <w:sz w:val="28"/>
          <w:szCs w:val="28"/>
        </w:rPr>
        <w:tab/>
        <w:t>доходы, полученные от сдачи в аренду имущества (квартиры, жилого дома, гаража и др.);</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w:t>
      </w:r>
      <w:r w:rsidRPr="00D40A91">
        <w:rPr>
          <w:rFonts w:ascii="Times New Roman" w:hAnsi="Times New Roman"/>
          <w:sz w:val="28"/>
          <w:szCs w:val="28"/>
        </w:rPr>
        <w:tab/>
        <w:t>доходы от реализации имущества;</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w:t>
      </w:r>
      <w:r w:rsidRPr="00D40A91">
        <w:rPr>
          <w:rFonts w:ascii="Times New Roman" w:hAnsi="Times New Roman"/>
          <w:sz w:val="28"/>
          <w:szCs w:val="28"/>
        </w:rPr>
        <w:tab/>
        <w:t>вознаграждение за выполнение трудовых или иных обязанностей, выполненную работу, оказанную услугу, совершение действия.</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Доходами, подлежащими обложению НДФЛ, не признаются доходы, полученные от физических лиц, признаваемых членами семьи и (или) близкими родственниками. Исключение составляют доходы, полученные в рамках договоров гражданско-правового характера (договора подряда, оказания услуг, купли-продажи) или трудовых соглашений между указанными лицами (п. 5 ст. 208, п. 18.1 ст. 217 НК РФ; Письмо ФНС России от 02.06.2021 N БС-4-11/7663@).</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 xml:space="preserve">Членами семьи и близкими родственниками признаются супруги, родители и дети (в том числе усыновители и усыновленные), дедушки, бабушки и внуки, полнородные и </w:t>
      </w:r>
      <w:proofErr w:type="spellStart"/>
      <w:r w:rsidRPr="00D40A91">
        <w:rPr>
          <w:rFonts w:ascii="Times New Roman" w:hAnsi="Times New Roman"/>
          <w:sz w:val="28"/>
          <w:szCs w:val="28"/>
        </w:rPr>
        <w:t>неполнородные</w:t>
      </w:r>
      <w:proofErr w:type="spellEnd"/>
      <w:r w:rsidRPr="00D40A91">
        <w:rPr>
          <w:rFonts w:ascii="Times New Roman" w:hAnsi="Times New Roman"/>
          <w:sz w:val="28"/>
          <w:szCs w:val="28"/>
        </w:rPr>
        <w:t xml:space="preserve"> (имеющие общих отца или мать) братья и сестры (п. 18.1 ст. 217 НК РФ; ст. 2, </w:t>
      </w:r>
      <w:proofErr w:type="spellStart"/>
      <w:r w:rsidRPr="00D40A91">
        <w:rPr>
          <w:rFonts w:ascii="Times New Roman" w:hAnsi="Times New Roman"/>
          <w:sz w:val="28"/>
          <w:szCs w:val="28"/>
        </w:rPr>
        <w:t>абз</w:t>
      </w:r>
      <w:proofErr w:type="spellEnd"/>
      <w:r w:rsidRPr="00D40A91">
        <w:rPr>
          <w:rFonts w:ascii="Times New Roman" w:hAnsi="Times New Roman"/>
          <w:sz w:val="28"/>
          <w:szCs w:val="28"/>
        </w:rPr>
        <w:t>. 3 ст. 14 СК РФ).</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Также установлен закрытый перечень доходов, которые освобождаются от обложения НДФЛ. К ним относятся, в частности, следующие (п. п. 5, 13, 15, 17, 17.1, 18.1 ст. 217 НК РФ):</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w:t>
      </w:r>
      <w:r w:rsidRPr="00D40A91">
        <w:rPr>
          <w:rFonts w:ascii="Times New Roman" w:hAnsi="Times New Roman"/>
          <w:sz w:val="28"/>
          <w:szCs w:val="28"/>
        </w:rPr>
        <w:tab/>
        <w:t>полученные алименты;</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w:t>
      </w:r>
      <w:r w:rsidRPr="00D40A91">
        <w:rPr>
          <w:rFonts w:ascii="Times New Roman" w:hAnsi="Times New Roman"/>
          <w:sz w:val="28"/>
          <w:szCs w:val="28"/>
        </w:rPr>
        <w:tab/>
        <w:t>доходы от продажи продукции животноводства и растениеводства, выращенной в личных подсобных хозяйствах на территории РФ;</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w:t>
      </w:r>
      <w:r w:rsidRPr="00D40A91">
        <w:rPr>
          <w:rFonts w:ascii="Times New Roman" w:hAnsi="Times New Roman"/>
          <w:sz w:val="28"/>
          <w:szCs w:val="28"/>
        </w:rPr>
        <w:tab/>
        <w:t xml:space="preserve">доходы, получаемые от реализации заготовленных дикорастущих плодов, ягод, орехов, грибов и </w:t>
      </w:r>
      <w:proofErr w:type="gramStart"/>
      <w:r w:rsidRPr="00D40A91">
        <w:rPr>
          <w:rFonts w:ascii="Times New Roman" w:hAnsi="Times New Roman"/>
          <w:sz w:val="28"/>
          <w:szCs w:val="28"/>
        </w:rPr>
        <w:t>других</w:t>
      </w:r>
      <w:proofErr w:type="gramEnd"/>
      <w:r w:rsidRPr="00D40A91">
        <w:rPr>
          <w:rFonts w:ascii="Times New Roman" w:hAnsi="Times New Roman"/>
          <w:sz w:val="28"/>
          <w:szCs w:val="28"/>
        </w:rPr>
        <w:t xml:space="preserve"> пригодных для употребления в пищу лесных ресурсов (пищевых лесных ресурсов), </w:t>
      </w:r>
      <w:proofErr w:type="spellStart"/>
      <w:r w:rsidRPr="00D40A91">
        <w:rPr>
          <w:rFonts w:ascii="Times New Roman" w:hAnsi="Times New Roman"/>
          <w:sz w:val="28"/>
          <w:szCs w:val="28"/>
        </w:rPr>
        <w:t>недревесных</w:t>
      </w:r>
      <w:proofErr w:type="spellEnd"/>
      <w:r w:rsidRPr="00D40A91">
        <w:rPr>
          <w:rFonts w:ascii="Times New Roman" w:hAnsi="Times New Roman"/>
          <w:sz w:val="28"/>
          <w:szCs w:val="28"/>
        </w:rPr>
        <w:t xml:space="preserve"> лесных ресурсов для собственных нужд;</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w:t>
      </w:r>
      <w:r w:rsidRPr="00D40A91">
        <w:rPr>
          <w:rFonts w:ascii="Times New Roman" w:hAnsi="Times New Roman"/>
          <w:sz w:val="28"/>
          <w:szCs w:val="28"/>
        </w:rPr>
        <w:tab/>
        <w:t>доходы от реализации пушнины, мяса диких животных и иной продукции, получаемой при осуществлении любительской и спортивной охоты;</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w:t>
      </w:r>
      <w:r w:rsidRPr="00D40A91">
        <w:rPr>
          <w:rFonts w:ascii="Times New Roman" w:hAnsi="Times New Roman"/>
          <w:sz w:val="28"/>
          <w:szCs w:val="28"/>
        </w:rPr>
        <w:tab/>
        <w:t>доходы от продажи имущества (при определенных условиях);</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lastRenderedPageBreak/>
        <w:t>•</w:t>
      </w:r>
      <w:r w:rsidRPr="00D40A91">
        <w:rPr>
          <w:rFonts w:ascii="Times New Roman" w:hAnsi="Times New Roman"/>
          <w:sz w:val="28"/>
          <w:szCs w:val="28"/>
        </w:rPr>
        <w:tab/>
        <w:t>доходы в виде денежных средств, полученные в порядке дарения.</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Таким образом, возникновение объекта налогообложения по НДФЛ при получении денежного перевода от физического лица зависит от назначения платежа. В общем случае суммы, полученные, например, в качестве платы за проданное имущество или в качестве вознаграждения за оказанные услуги, облагаются НДФЛ. Безвозмездные поступления от физических лиц не облагаются НДФЛ.</w:t>
      </w: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r>
      <w:r w:rsidRPr="00D40A91">
        <w:rPr>
          <w:rFonts w:ascii="Times New Roman" w:hAnsi="Times New Roman"/>
          <w:sz w:val="28"/>
          <w:szCs w:val="28"/>
        </w:rPr>
        <w:tab/>
      </w:r>
      <w:r w:rsidRPr="00D40A91">
        <w:rPr>
          <w:rFonts w:ascii="Times New Roman" w:hAnsi="Times New Roman"/>
          <w:sz w:val="28"/>
          <w:szCs w:val="28"/>
        </w:rPr>
        <w:tab/>
      </w:r>
      <w:r w:rsidRPr="00D40A91">
        <w:rPr>
          <w:rFonts w:ascii="Times New Roman" w:hAnsi="Times New Roman"/>
          <w:sz w:val="28"/>
          <w:szCs w:val="28"/>
        </w:rPr>
        <w:tab/>
      </w:r>
      <w:r w:rsidRPr="00D40A91">
        <w:rPr>
          <w:rFonts w:ascii="Times New Roman" w:hAnsi="Times New Roman"/>
          <w:sz w:val="28"/>
          <w:szCs w:val="28"/>
        </w:rPr>
        <w:tab/>
      </w:r>
      <w:r w:rsidRPr="00D40A91">
        <w:rPr>
          <w:rFonts w:ascii="Times New Roman" w:hAnsi="Times New Roman"/>
          <w:sz w:val="28"/>
          <w:szCs w:val="28"/>
        </w:rPr>
        <w:tab/>
        <w:t>Помощник прокурора Быкова Д.О.</w:t>
      </w: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Default="00D40A91" w:rsidP="00D40A91">
      <w:pPr>
        <w:spacing w:after="0" w:line="240" w:lineRule="auto"/>
        <w:contextualSpacing/>
        <w:jc w:val="both"/>
        <w:rPr>
          <w:rFonts w:ascii="Times New Roman" w:hAnsi="Times New Roman"/>
          <w:sz w:val="28"/>
          <w:szCs w:val="28"/>
        </w:rPr>
      </w:pPr>
    </w:p>
    <w:p w:rsidR="002A0B03" w:rsidRDefault="002A0B03" w:rsidP="00D40A91">
      <w:pPr>
        <w:spacing w:after="0" w:line="240" w:lineRule="auto"/>
        <w:contextualSpacing/>
        <w:jc w:val="both"/>
        <w:rPr>
          <w:rFonts w:ascii="Times New Roman" w:hAnsi="Times New Roman"/>
          <w:sz w:val="28"/>
          <w:szCs w:val="28"/>
        </w:rPr>
      </w:pPr>
    </w:p>
    <w:p w:rsidR="002A0B03" w:rsidRDefault="002A0B03" w:rsidP="00D40A91">
      <w:pPr>
        <w:spacing w:after="0" w:line="240" w:lineRule="auto"/>
        <w:contextualSpacing/>
        <w:jc w:val="both"/>
        <w:rPr>
          <w:rFonts w:ascii="Times New Roman" w:hAnsi="Times New Roman"/>
          <w:sz w:val="28"/>
          <w:szCs w:val="28"/>
        </w:rPr>
      </w:pPr>
    </w:p>
    <w:p w:rsidR="002A0B03" w:rsidRPr="00D40A91" w:rsidRDefault="002A0B03"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center"/>
        <w:rPr>
          <w:rFonts w:ascii="Times New Roman" w:hAnsi="Times New Roman"/>
          <w:sz w:val="28"/>
          <w:szCs w:val="28"/>
        </w:rPr>
      </w:pPr>
      <w:r w:rsidRPr="00D40A91">
        <w:rPr>
          <w:rFonts w:ascii="Times New Roman" w:hAnsi="Times New Roman"/>
          <w:sz w:val="28"/>
          <w:szCs w:val="28"/>
        </w:rPr>
        <w:lastRenderedPageBreak/>
        <w:t>Ответственность за курение в многоквартирном доме</w:t>
      </w: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 xml:space="preserve">Курение табака в помещениях общего пользования многоквартирных домов, а также в помещениях, составляющих общее имущество собственников комнат в коммунальных квартирах, запрещено. </w:t>
      </w:r>
      <w:proofErr w:type="gramStart"/>
      <w:r w:rsidRPr="00D40A91">
        <w:rPr>
          <w:rFonts w:ascii="Times New Roman" w:hAnsi="Times New Roman"/>
          <w:sz w:val="28"/>
          <w:szCs w:val="28"/>
        </w:rPr>
        <w:t xml:space="preserve">За нарушение законодательства в сфере охраны здоровья граждан от воздействия окружающего табачного дыма, последствий потребления табака или потребления </w:t>
      </w:r>
      <w:proofErr w:type="spellStart"/>
      <w:r w:rsidRPr="00D40A91">
        <w:rPr>
          <w:rFonts w:ascii="Times New Roman" w:hAnsi="Times New Roman"/>
          <w:sz w:val="28"/>
          <w:szCs w:val="28"/>
        </w:rPr>
        <w:t>никотинсодержащей</w:t>
      </w:r>
      <w:proofErr w:type="spellEnd"/>
      <w:r w:rsidRPr="00D40A91">
        <w:rPr>
          <w:rFonts w:ascii="Times New Roman" w:hAnsi="Times New Roman"/>
          <w:sz w:val="28"/>
          <w:szCs w:val="28"/>
        </w:rPr>
        <w:t xml:space="preserve"> продукции устанавливается, в частности, гражданско-правовая ответственность и административный штраф в размере от 500 до 1 500 руб. (ч. 1 ст. 6.24 </w:t>
      </w:r>
      <w:proofErr w:type="spellStart"/>
      <w:r w:rsidRPr="00D40A91">
        <w:rPr>
          <w:rFonts w:ascii="Times New Roman" w:hAnsi="Times New Roman"/>
          <w:sz w:val="28"/>
          <w:szCs w:val="28"/>
        </w:rPr>
        <w:t>КоАП</w:t>
      </w:r>
      <w:proofErr w:type="spellEnd"/>
      <w:r w:rsidRPr="00D40A91">
        <w:rPr>
          <w:rFonts w:ascii="Times New Roman" w:hAnsi="Times New Roman"/>
          <w:sz w:val="28"/>
          <w:szCs w:val="28"/>
        </w:rPr>
        <w:t xml:space="preserve"> РФ; п. 10 ч. 1 ст. 12, ст. 23 Закона от 23.02.2013 N 15-ФЗ).</w:t>
      </w:r>
      <w:proofErr w:type="gramEnd"/>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На балконах (лоджиях) квартир, жилых комнат общежитий и номеров гостиниц запрещено использовать открытый огонь. Кроме того, в жилых зданиях запрещено оставлять без присмотра источники открытого огня, в частности непотушенную сигарету (п. 85 Правил, утв. Постановлением Правительства РФ от 16.09.2020 N 1479).</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r>
      <w:proofErr w:type="gramStart"/>
      <w:r w:rsidRPr="00D40A91">
        <w:rPr>
          <w:rFonts w:ascii="Times New Roman" w:hAnsi="Times New Roman"/>
          <w:sz w:val="28"/>
          <w:szCs w:val="28"/>
        </w:rPr>
        <w:t>Указанные ограничения не означают запрет на курение на балконах (лоджиях) квартир, однако являются основанием для привлечения курильщика к ответственности в случае возникновения пожара и уничтожения или повреждения чужого имущества либо причинения вреда здоровью человека, причиной которых явились брошенный вниз окурок или вылетевшая горящая искра, попавшие на балкон либо в открытое окно другого помещения (Письмо МЧС России от 26.02.2021 N ИГ-19-546).</w:t>
      </w:r>
      <w:proofErr w:type="gramEnd"/>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Для принятия мер воздействия к курильщикам в доме рекомендуем придерживаться следующего алгоритма.</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Необходимо определить, относится ли место курения к помещениям общего пользования в многоквартирном доме</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 xml:space="preserve">Помещения общего пользования в многоквартирном доме - это помещения, не являющиеся частями квартир и предназначенные для обслуживания более одного жилого и (или) нежилого помещения в этом доме. </w:t>
      </w:r>
      <w:proofErr w:type="gramStart"/>
      <w:r w:rsidRPr="00D40A91">
        <w:rPr>
          <w:rFonts w:ascii="Times New Roman" w:hAnsi="Times New Roman"/>
          <w:sz w:val="28"/>
          <w:szCs w:val="28"/>
        </w:rPr>
        <w:t>К таким помещениям относятся, например, межквартирные лестничные площадки, лестницы, лифты, лифтовые и иные шахты, коридоры, колясочные, чердаки, технические этажи и технические подвалы (</w:t>
      </w:r>
      <w:proofErr w:type="spellStart"/>
      <w:r w:rsidRPr="00D40A91">
        <w:rPr>
          <w:rFonts w:ascii="Times New Roman" w:hAnsi="Times New Roman"/>
          <w:sz w:val="28"/>
          <w:szCs w:val="28"/>
        </w:rPr>
        <w:t>пп</w:t>
      </w:r>
      <w:proofErr w:type="spellEnd"/>
      <w:r w:rsidRPr="00D40A91">
        <w:rPr>
          <w:rFonts w:ascii="Times New Roman" w:hAnsi="Times New Roman"/>
          <w:sz w:val="28"/>
          <w:szCs w:val="28"/>
        </w:rPr>
        <w:t>. "а" п. 2 Правил, утв. Постановлением Правительства РФ от 13.08.2006 N 491).</w:t>
      </w:r>
      <w:proofErr w:type="gramEnd"/>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 xml:space="preserve">По решению собственников имущества в многоквартирном доме или иного лица, уполномоченного на то собственниками имущества, допускается курение табака, потребление </w:t>
      </w:r>
      <w:proofErr w:type="spellStart"/>
      <w:r w:rsidRPr="00D40A91">
        <w:rPr>
          <w:rFonts w:ascii="Times New Roman" w:hAnsi="Times New Roman"/>
          <w:sz w:val="28"/>
          <w:szCs w:val="28"/>
        </w:rPr>
        <w:t>никотинсодержащей</w:t>
      </w:r>
      <w:proofErr w:type="spellEnd"/>
      <w:r w:rsidRPr="00D40A91">
        <w:rPr>
          <w:rFonts w:ascii="Times New Roman" w:hAnsi="Times New Roman"/>
          <w:sz w:val="28"/>
          <w:szCs w:val="28"/>
        </w:rPr>
        <w:t xml:space="preserve"> продукции или использование кальянов в специально выделенных местах на открытом воздухе или в изолированных помещениях общего пользования, которые оборудованы системами вентиляции (п. 2 ч. 2 ст. 12 Закона N 15-ФЗ).</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Далее следует зафиксировать правонарушение и сохранить доказательства его совершения</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 xml:space="preserve">Обнаружив нарушающего запрет на курение в помещении общего пользования вашего дома, следует сделать фото- или видеозапись (например, </w:t>
      </w:r>
      <w:r w:rsidRPr="00D40A91">
        <w:rPr>
          <w:rFonts w:ascii="Times New Roman" w:hAnsi="Times New Roman"/>
          <w:sz w:val="28"/>
          <w:szCs w:val="28"/>
        </w:rPr>
        <w:lastRenderedPageBreak/>
        <w:t xml:space="preserve">снять курящего на камеру мобильного телефона). Также рекомендуется обратить внимание соседей и иных граждан, находящихся поблизости, на факт правонарушения, чтобы впоследствии привлечь их в качестве свидетелей и использовать их показания по делу об административном правонарушении (ст. 25.6 </w:t>
      </w:r>
      <w:proofErr w:type="spellStart"/>
      <w:r w:rsidRPr="00D40A91">
        <w:rPr>
          <w:rFonts w:ascii="Times New Roman" w:hAnsi="Times New Roman"/>
          <w:sz w:val="28"/>
          <w:szCs w:val="28"/>
        </w:rPr>
        <w:t>КоАП</w:t>
      </w:r>
      <w:proofErr w:type="spellEnd"/>
      <w:r w:rsidRPr="00D40A91">
        <w:rPr>
          <w:rFonts w:ascii="Times New Roman" w:hAnsi="Times New Roman"/>
          <w:sz w:val="28"/>
          <w:szCs w:val="28"/>
        </w:rPr>
        <w:t xml:space="preserve"> РФ). Если места общего пользования в доме оборудованы видеокамерами, рекомендуем получить копию видеозаписи.</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Следующим шагом является  незамедлительное сообщение о факте нарушения в уполномоченные органы</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 xml:space="preserve">Целесообразно обратиться в отдел полиции и настоять, чтобы по данному факту был составлен протокол об административном правонарушении. Также можно обратиться в орган регионального государственного жилищного надзора, например жилищную инспекцию (ч. 1 ст. 23.3, ст. ст. 23.55, 28.2, ч. 1 ст. 28.3 </w:t>
      </w:r>
      <w:proofErr w:type="spellStart"/>
      <w:r w:rsidRPr="00D40A91">
        <w:rPr>
          <w:rFonts w:ascii="Times New Roman" w:hAnsi="Times New Roman"/>
          <w:sz w:val="28"/>
          <w:szCs w:val="28"/>
        </w:rPr>
        <w:t>КоАП</w:t>
      </w:r>
      <w:proofErr w:type="spellEnd"/>
      <w:r w:rsidRPr="00D40A91">
        <w:rPr>
          <w:rFonts w:ascii="Times New Roman" w:hAnsi="Times New Roman"/>
          <w:sz w:val="28"/>
          <w:szCs w:val="28"/>
        </w:rPr>
        <w:t xml:space="preserve"> РФ).</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Если граждане, ставшие свидетелями противоправного поведения, не имеют возможности дождаться прибытия сотрудников полиции, запишите их полные фамилию, имя и отчество, а также адрес фактического проживания и номер телефона. По прибытии представителей уполномоченных органов укажите этих лиц в качестве свидетелей в протоколе об административном правонарушении, соответствующем заявлении или ином документе.</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t xml:space="preserve">На основе протокола, свидетельских показаний и других доказательств уполномоченный орган установит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(ст. 26.2 </w:t>
      </w:r>
      <w:proofErr w:type="spellStart"/>
      <w:r w:rsidRPr="00D40A91">
        <w:rPr>
          <w:rFonts w:ascii="Times New Roman" w:hAnsi="Times New Roman"/>
          <w:sz w:val="28"/>
          <w:szCs w:val="28"/>
        </w:rPr>
        <w:t>КоАП</w:t>
      </w:r>
      <w:proofErr w:type="spellEnd"/>
      <w:r w:rsidRPr="00D40A91">
        <w:rPr>
          <w:rFonts w:ascii="Times New Roman" w:hAnsi="Times New Roman"/>
          <w:sz w:val="28"/>
          <w:szCs w:val="28"/>
        </w:rPr>
        <w:t xml:space="preserve"> РФ).</w:t>
      </w: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r>
      <w:proofErr w:type="gramStart"/>
      <w:r w:rsidRPr="00D40A91">
        <w:rPr>
          <w:rFonts w:ascii="Times New Roman" w:hAnsi="Times New Roman"/>
          <w:sz w:val="28"/>
          <w:szCs w:val="28"/>
        </w:rPr>
        <w:t>Кроме того, действующее законодательство допускает компенсацию морального вреда за нарушение прав граждан в сфере охраны здоровья от воздействия окружающего табачного дыма (ст. 151 ГК РФ; ст. 23 Закона N 15-ФЗ; п. 2 Обзора, утв. Президиумом Верховного Суда РФ 26.12.2018; Апелляционное определение Московского городского суда от 30.09.2020 по делу N 33-37513/2020).</w:t>
      </w:r>
      <w:proofErr w:type="gramEnd"/>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r w:rsidRPr="00D40A91">
        <w:rPr>
          <w:rFonts w:ascii="Times New Roman" w:hAnsi="Times New Roman"/>
          <w:sz w:val="28"/>
          <w:szCs w:val="28"/>
        </w:rPr>
        <w:tab/>
      </w:r>
      <w:r w:rsidRPr="00D40A91">
        <w:rPr>
          <w:rFonts w:ascii="Times New Roman" w:hAnsi="Times New Roman"/>
          <w:sz w:val="28"/>
          <w:szCs w:val="28"/>
        </w:rPr>
        <w:tab/>
      </w:r>
      <w:r w:rsidRPr="00D40A91">
        <w:rPr>
          <w:rFonts w:ascii="Times New Roman" w:hAnsi="Times New Roman"/>
          <w:sz w:val="28"/>
          <w:szCs w:val="28"/>
        </w:rPr>
        <w:tab/>
      </w:r>
      <w:r w:rsidRPr="00D40A91">
        <w:rPr>
          <w:rFonts w:ascii="Times New Roman" w:hAnsi="Times New Roman"/>
          <w:sz w:val="28"/>
          <w:szCs w:val="28"/>
        </w:rPr>
        <w:tab/>
      </w:r>
      <w:r w:rsidRPr="00D40A91">
        <w:rPr>
          <w:rFonts w:ascii="Times New Roman" w:hAnsi="Times New Roman"/>
          <w:sz w:val="28"/>
          <w:szCs w:val="28"/>
        </w:rPr>
        <w:tab/>
        <w:t>Помощник прокурора Быкова Д.О.</w:t>
      </w: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D40A91" w:rsidRPr="00D40A91" w:rsidRDefault="00D40A91" w:rsidP="00D40A91">
      <w:pPr>
        <w:spacing w:after="0" w:line="240" w:lineRule="auto"/>
        <w:contextualSpacing/>
        <w:jc w:val="both"/>
        <w:rPr>
          <w:rFonts w:ascii="Times New Roman" w:hAnsi="Times New Roman"/>
          <w:sz w:val="28"/>
          <w:szCs w:val="28"/>
        </w:rPr>
      </w:pPr>
    </w:p>
    <w:p w:rsidR="00A752FC" w:rsidRPr="00D40A91" w:rsidRDefault="00A752FC" w:rsidP="00D40A91">
      <w:pPr>
        <w:spacing w:after="0" w:line="240" w:lineRule="auto"/>
        <w:contextualSpacing/>
        <w:jc w:val="both"/>
        <w:rPr>
          <w:rFonts w:ascii="Times New Roman" w:hAnsi="Times New Roman"/>
          <w:sz w:val="28"/>
          <w:szCs w:val="28"/>
        </w:rPr>
      </w:pPr>
    </w:p>
    <w:sectPr w:rsidR="00A752FC" w:rsidRPr="00D40A91"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245"/>
    <w:rsid w:val="00020039"/>
    <w:rsid w:val="000F4F14"/>
    <w:rsid w:val="002142A7"/>
    <w:rsid w:val="0023059F"/>
    <w:rsid w:val="002A0B03"/>
    <w:rsid w:val="00301C44"/>
    <w:rsid w:val="003661B6"/>
    <w:rsid w:val="004574C9"/>
    <w:rsid w:val="004E45B6"/>
    <w:rsid w:val="00577688"/>
    <w:rsid w:val="00597729"/>
    <w:rsid w:val="005A42D2"/>
    <w:rsid w:val="006D281B"/>
    <w:rsid w:val="00707112"/>
    <w:rsid w:val="007F247D"/>
    <w:rsid w:val="00882245"/>
    <w:rsid w:val="00915A51"/>
    <w:rsid w:val="00924198"/>
    <w:rsid w:val="00976907"/>
    <w:rsid w:val="00A12402"/>
    <w:rsid w:val="00A752FC"/>
    <w:rsid w:val="00B310BE"/>
    <w:rsid w:val="00B4444E"/>
    <w:rsid w:val="00B46AA8"/>
    <w:rsid w:val="00B713E9"/>
    <w:rsid w:val="00BF3AF4"/>
    <w:rsid w:val="00C71D3D"/>
    <w:rsid w:val="00D11CD8"/>
    <w:rsid w:val="00D40A91"/>
    <w:rsid w:val="00D65AAE"/>
    <w:rsid w:val="00ED28EA"/>
    <w:rsid w:val="00F767B1"/>
    <w:rsid w:val="00FA1B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7103</Words>
  <Characters>40488</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13</cp:revision>
  <dcterms:created xsi:type="dcterms:W3CDTF">2021-07-19T10:59:00Z</dcterms:created>
  <dcterms:modified xsi:type="dcterms:W3CDTF">2022-05-25T05:03:00Z</dcterms:modified>
</cp:coreProperties>
</file>